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LBG (Brandenburg) — Mutterschutz, Elternzeit</w:t>
      </w:r>
    </w:p>
    <w:p>
      <w:r>
        <w:rPr>
          <w:color w:val="555555"/>
          <w:sz w:val="18"/>
        </w:rPr>
        <w:t xml:space="preserve">Landesbeamtengesetz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den Mutterschutz und die Elternzeit gelten die Rechtsvorschriften für Bundesbeamte entsprechend.</w:t>
      </w:r>
    </w:p>
    <w:p>
      <w:r>
        <w:rPr>
          <w:color w:val="555555"/>
          <w:sz w:val="17"/>
        </w:rPr>
        <w:t xml:space="preserve">Zitiervorschlag: § 71 LBG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https://recht.nulegal.eu/gesetze/bb-lbg--2009/71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