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LBG (Brandenburg) — Übergang von Schadensersatzansprüchen auf den Dienstherrn</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Wird ein Beamter oder Versorgungsberechtigter oder einer ihrer Angehörigen körperlich verletzt oder getötet, so geht ein gesetzlicher Schadensersatzanspruch, der diesen Personen infolge der Körperverletzung oder der Tötung gegen einen Dritten zusteht, insoweit auf den Dienstherrn über, als dieser während einer auf der Körperverletzung beruhenden Dienstunfähigkeit oder begrenzten Dienstfähigkeit oder infolge der Körperverletzung oder der Tötung zur Gewährung von Leistungen verpflichtet ist. Ist eine Versorgungskasse zur Gewährung der Versorgung verpflichtet, so geht der Anspruch auf sie über. Der Übergang des Anspruchs kann nicht zum Nachteil des Verletzten oder der Hinterbliebenen geltend gemacht werden; dies gilt auch, wenn der Schädiger nur für einen Teil des Schadens ersatzpflichtig ist.</w:t>
      </w:r>
    </w:p>
    <w:p>
      <w:r>
        <w:rPr>
          <w:color w:val="555555"/>
          <w:sz w:val="17"/>
        </w:rPr>
        <w:t xml:space="preserve">Zitiervorschlag: § 67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