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LBG (Brandenburg) — Verbot der Annahme von Belohnungen, Geschenken und sonstigen Vorteilen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Über Ausnahmen vom Verbot der Annahme von Belohnungen, Geschenken und sonstigen Vorteilen nach § 42 Abs. 1 Satz 2 des Beamtenstatusgesetzes entscheidet die oberste oder letzte oberste Dienstbehörde. Sie kann ihre Befugnis auf andere Behörden übertragen.</w:t>
      </w:r>
    </w:p>
    <w:p>
      <w:r>
        <w:t xml:space="preserve">(2) Für den Umfang des Herausgabeanspruchs nach § 42 Abs. 2 des Beamtenstatusgesetzes gelten die Vorschriften des Bürgerlichen Gesetzbuches über die Herausgabe einer ungerechtfertigten Bereicherung entsprechend. Die Herausgabepflicht nach Satz 1 umfasst auch die Pflicht, dem Dienstherrn Auskunft über Art, Umfang und Verbleib des Erlangten zu geben.</w:t>
      </w:r>
    </w:p>
    <w:p>
      <w:r>
        <w:rPr>
          <w:color w:val="555555"/>
          <w:sz w:val="17"/>
        </w:rPr>
        <w:t xml:space="preserve">Zitiervorschlag: § 57 LBG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https://recht.nulegal.eu/gesetze/bb-lbg--2009/57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