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LBG (Brandenburg) — Ernennungsverbot im zeitlichen Zusammenhang mit der Wahl zum Landtag Brandenburg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der Zeit zwischen dem Wahltag zum Landtag Brandenburg und dem Tag der Ernennung der Mitglieder der Landesregierung sind Ernennungen von Landesbeamten nur für folgende Fallgruppen zulässig:</w:t>
      </w:r>
    </w:p>
    <w:p>
      <w:r>
        <w:t xml:space="preserve">Einstellung in den Vorbereitungsdienst,</w:t>
      </w:r>
    </w:p>
    <w:p>
      <w:r>
        <w:t xml:space="preserve">Einstellung in das Beamtenverhältnis auf Probe im Eingangsamt,</w:t>
      </w:r>
    </w:p>
    <w:p>
      <w:r>
        <w:t xml:space="preserve">Umwandlung eines Beamtenverhältnisses auf Widerruf in ein Beamtenverhältnis auf Probe,</w:t>
      </w:r>
    </w:p>
    <w:p>
      <w:r>
        <w:t xml:space="preserve">Umwandlung eines Beamtenverhältnisses auf Probe in ein Beamtenverhältnis auf Lebenszeit,</w:t>
      </w:r>
    </w:p>
    <w:p>
      <w:r>
        <w:t xml:space="preserve">Professoren, Hochschulpräsidenten und Kanzler von Hochschulen und</w:t>
      </w:r>
    </w:p>
    <w:p>
      <w:r>
        <w:t xml:space="preserve">Einstellung von Staatsanwälten im Eingangsamt.</w:t>
      </w:r>
    </w:p>
    <w:p>
      <w:r>
        <w:t xml:space="preserve">Die obersten Dienstbehörden können Ernennungen und Beförderungen nach Satz 1 für andere Fallgruppen im Einvernehmen mit dem für das allgemeine und dem für das finanzielle öffentliche Dienstrecht zuständigen Ministerium zulassen.</w:t>
      </w:r>
    </w:p>
    <w:p>
      <w:r>
        <w:rPr>
          <w:color w:val="555555"/>
          <w:sz w:val="17"/>
        </w:rPr>
        <w:t xml:space="preserve">Zitiervorschlag: § 5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