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LBG (Brandenburg) — Gnadenrecht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Ministerpräsident übt im Einzelfall hinsichtlich des Verlustes der Beamtenrechte das Gnadenrecht für alle Beamten aus. Er kann diese Befugnis übertragen.</w:t>
      </w:r>
    </w:p>
    <w:p>
      <w:r>
        <w:t xml:space="preserve">(2) Wird im Gnadenweg der Verlust der Beamtenrechte in vollem Umfang beseitigt, so gilt von diesem Zeitpunkt ab § 35 Abs. 2 bis 4 entsprechend.</w:t>
      </w:r>
    </w:p>
    <w:p>
      <w:r>
        <w:rPr>
          <w:color w:val="555555"/>
          <w:sz w:val="17"/>
        </w:rPr>
        <w:t xml:space="preserve">Zitiervorschlag: § 36 LBG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