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LBG (Brandenburg) — Verfahren der Entlassung kraft Gesetzes</w:t>
      </w:r>
    </w:p>
    <w:p>
      <w:r>
        <w:rPr>
          <w:color w:val="555555"/>
          <w:sz w:val="18"/>
        </w:rPr>
        <w:t xml:space="preserve">Landesbeamtengesetz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oberste Dienstbehörde oder die von ihr bestimmte Stelle entscheidet darüber, ob die Voraussetzungen des § 22 Abs. 1, 2 oder 3 des Beamtenstatusgesetzes vorliegen und stellt den Tag der Beendigung des Beamtenverhältnisses fest. Für die Beamten der Gemeinden und Gemeindeverbände und der sonstigen unter der Aufsicht des Landes stehenden Körperschaften, Anstalten und Stiftungen des öffentlichen Rechts entscheidet die Aufsichtsbehörde oder die von ihr bestimmte Stelle.</w:t>
      </w:r>
    </w:p>
    <w:p>
      <w:r>
        <w:t xml:space="preserve">(2) Für die Anordnung der Fortdauer des Beamtenverhältnisses nach § 22 Abs. 2 des Beamtenstatusgesetzes ist die oberste Dienstbehörde zuständig, die die Anordnung im Einvernehmen mit dem für das allgemeine öffentliche Dienstrecht zuständigen Ministerium und dem neuen Dienstherrn oder der Einrichtung trifft.</w:t>
      </w:r>
    </w:p>
    <w:p>
      <w:r>
        <w:t xml:space="preserve">(3) Beamte auf Widerruf im Vorbereitungsdienst sind mit dem Ablauf des Tages aus dem Beamtenverhältnis entlassen, an dem ihnen</w:t>
      </w:r>
    </w:p>
    <w:p>
      <w:r>
        <w:t xml:space="preserve">das Bestehen der Laufbahnprüfung oder</w:t>
      </w:r>
    </w:p>
    <w:p>
      <w:r>
        <w:t xml:space="preserve">das endgültige Nichtbestehen der Laufbahnprüfung oder einer vorgeschriebenen Zwischenprüfung</w:t>
      </w:r>
    </w:p>
    <w:p>
      <w:r>
        <w:t xml:space="preserve">bekannt gegeben worden ist. Im Fall von Satz 1 Nr. 1 endet das Beamtenverhältnis jedoch frühestens nach Ablauf der für den Vorbereitungsdienst im Allgemeinen oder im Einzelfall festgesetzten Zeit.</w:t>
      </w:r>
    </w:p>
    <w:p>
      <w:r>
        <w:rPr>
          <w:color w:val="555555"/>
          <w:sz w:val="17"/>
        </w:rPr>
        <w:t xml:space="preserve">Zitiervorschlag: § 32 LBG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https://recht.nulegal.eu/gesetze/bb-lbg--2009/32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