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LBG (Brandenburg) — Rechtsverordnungen über Laufbahnen</w:t>
      </w:r>
    </w:p>
    <w:p>
      <w:r>
        <w:rPr>
          <w:color w:val="555555"/>
          <w:sz w:val="18"/>
        </w:rPr>
        <w:t xml:space="preserve">Landesbeamtengesetz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Landesregierung erlässt unter Berücksichtigung der §§ 9 bis 18 und §§ 20 bis 24 durch Rechtsverordnung allgemeine Vorschriften über die Laufbahnen der Beamten (Laufbahnverordnungen). Dabei sollen insbesondere geregelt werden:</w:t>
      </w:r>
    </w:p>
    <w:p>
      <w:r>
        <w:t xml:space="preserve">die Laufbahnordnungsbehörden,</w:t>
      </w:r>
    </w:p>
    <w:p>
      <w:r>
        <w:t xml:space="preserve">die Einzelheiten der Probezeit und der Mindestprobezeit,</w:t>
      </w:r>
    </w:p>
    <w:p>
      <w:r>
        <w:t xml:space="preserve">die Festlegung, welche Ämter regelmäßig zu durchlaufen sind,</w:t>
      </w:r>
    </w:p>
    <w:p>
      <w:r>
        <w:t xml:space="preserve">die Voraussetzungen für die Einstellung in einem höheren Amt als dem Eingangsamt und die Beförderungsvoraussetzungen,</w:t>
      </w:r>
    </w:p>
    <w:p>
      <w:r>
        <w:t xml:space="preserve">die allgemeinen Voraussetzungen und das Verfahren für den Laufbahnwechsel und die Grundsätze des Aufstiegs,</w:t>
      </w:r>
    </w:p>
    <w:p>
      <w:r>
        <w:t xml:space="preserve">die Laufbahnen ohne Vorbereitungsdienst und die Mindestdauer einer hauptberuflichen Tätigkeit,</w:t>
      </w:r>
    </w:p>
    <w:p>
      <w:r>
        <w:t xml:space="preserve">die Einstellungsvoraussetzungen für andere Bewerber,</w:t>
      </w:r>
    </w:p>
    <w:p>
      <w:r>
        <w:t xml:space="preserve">die Grundsätze der Fortbildung und Maßnahmen zur Personalführung und -entwicklung der Beamten.</w:t>
      </w:r>
    </w:p>
    <w:p>
      <w:r>
        <w:rPr>
          <w:color w:val="555555"/>
          <w:sz w:val="17"/>
        </w:rPr>
        <w:t xml:space="preserve">Zitiervorschlag: § 25 LBG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https://recht.nulegal.eu/gesetze/bb-lbg--2009/25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