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LBG (Brandenburg) — Benachteiligungsverbot, Nachteilsausgleich, Vielfalt</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Schwangerschaft, Mutterschutz und Elternzeit dürfen sich bei der Einstellung und dem beruflichen Fortkommen nicht nachteilig auswirken;dies ist bei der Personalentwicklung zu berücksichtigen. Satz 1 gilt auch für Beamte mit einer Behinderung. Dies gilt auch für Teilzeitbeschäftigung sowie Beurlaubung aus familiären Gründen, wenn nicht zwingende sachliche Gründe vorliegen.</w:t>
      </w:r>
    </w:p>
    <w:p>
      <w:r>
        <w:t xml:space="preserve">(2) Zum Ausgleich von beruflichen Verzögerungen, die durch die Geburt oder tatsächliche Betreuung oder Pflege eines Kindes unter 18 Jahren oder eines nach ärztlichem Gutachten pflegebedürftigen sonstigen nahen Angehörigen, insbesondere aus dem Kreis der Eltern, Schwiegereltern, Ehegatten, eingetragenen Lebenspartner, Geschwister sowie volljährigen Kinder, eintreten, ist eine Beförderung während der Probezeit, frühestens jedoch ein Jahr nach der Einstellung in das Beamtenverhältnis auf Probe, oder vor Ablauf eines Jahres seit Beendigung der Probezeit zulässig, wenn die dienstlichen Leistungen dies rechtfertigen. Das Ableisten der vorgeschriebenen Probezeit bleibt unberührt.</w:t>
      </w:r>
    </w:p>
    <w:p>
      <w:r>
        <w:t xml:space="preserve">(3) Absatz 2 ist in den Fällen des Nachteilsausgleichs für ehemalige Soldaten nach dem Arbeitsplatzschutzgesetz und dem Soldatenversorgungsgesetz sowie für ehemalige Zivildienstleistende nach dem Zivildienstgesetz und Entwicklungshelfer nach dem Entwicklungshelfergesetz entsprechend anzuwenden.</w:t>
      </w:r>
    </w:p>
    <w:p>
      <w:r>
        <w:t xml:space="preserve">(4) Haben sich die Anforderungen an die fachliche Eignung für die Einstellung in den öffentlichen Dienst in der Zeit erhöht, in der sich die Bewerbung um Einstellung nur infolge der Geburt oder der Betreuung eines Kindes verzögert hat, und ist die Bewerbung innerhalb von drei Jahren nach der Geburt dieses Kindes oder sechs Monate nach Erfüllung der ausbildungsmäßigen Einstellungsvoraussetzungen erfolgt, so ist der Grad der fachlichen Eignung nach den Anforderungen zu prüfen, die zu einem Zeitpunkt bestanden haben, zu dem die Bewerbung ohne die Geburt oder die Betreuung des Kindes hätte erfolgen können. Führt die Prüfung zu dem Ergebnis, dass der Bewerber ohne diese Verzögerung eingestellt worden wäre, kann er vor anderen Bewerbern eingestellt werden. Die Zahl der Stellen, die diesen Bewerbern in einem Einstellungstermin vorbehalten werden kann, bestimmt sich nach dem zahlenmäßigen Verhältnis der Bewerber mit Verzögerung zu denjenigen ohne eine solche Verzögerung; Bruchteile von Stellen sind zu Gunsten der betroffenen Bewerber aufzurunden. Für die Berechnung des Zeitraums der Verzögerung sind nur die einen Anspruch auf Elternzeit nach § 15 Absatz 1 Satz 1 und Absatz 2 des Bundeselterngeld- und Elternzeitgesetzes vom 5. Dezember 2006 ( BGBl. I S. 2748), das zuletzt durch Artikel 1 des Gesetzes vom 15. Februar 2013 (BGBl. I S. 254) geändert worden ist, begründenden Zeiten sowie bei Frauen zusätzlich die Zeiten nach § 3 Absatz 2 und § 6 Absatz 1 des Mutterschutzgesetzes in der Fassung der Bekanntmachung vom 20. Juni 2002 (BGBl. I S. 2318), das zuletzt durch Artikel 6 des Gesetzes vom 23. Oktober 2012 (BGBl. I S. 2246, 2261) geändert worden ist, zu berücksichtigen. Verzögert sich die Bewerbung um Einstellung nur wegen der tatsächlichen Pflege eines nach ärztlichem Gutachten pflegebedürftigen sonstigen nahen Angehörigen im Sinne des Absatzes 2, gelten die Sätze 1 bis 3 entsprechend; der berücksichtigungsfähige Zeitraum beträgt längstens drei Jahre.</w:t>
      </w:r>
    </w:p>
    <w:p>
      <w:r>
        <w:t xml:space="preserve">(5) Zur Förderung der Vielfalt in der öffentlichen Verwaltung hat der Dienstherr für ein vorurteilsfreies und wertschätzendes Arbeitsumfeld Sorge zu tragen und die Erhaltung und Weiterentwicklung der dafür erforderlichen Kompetenzen sicherzustellen.</w:t>
      </w:r>
    </w:p>
    <w:p>
      <w:r>
        <w:rPr>
          <w:color w:val="555555"/>
          <w:sz w:val="17"/>
        </w:rPr>
        <w:t xml:space="preserve">Zitiervorschlag: § 24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