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LBG (Brandenburg) — Beförderungen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Beförderungen gelten die Kriterien des § 9 des Beamtenstatusgesetzes. Bei den der Auswahlentscheidung zu Grunde liegenden dienstlichen Beurteilungen darf das Ende des letzten Beurteilungszeitraumes zum Zeitpunkt der Auswahlentscheidung höchstens drei Jahre zurückliegen.</w:t>
      </w:r>
    </w:p>
    <w:p>
      <w:r>
        <w:t xml:space="preserve">(2) Beförderungen, die mit einer höherwertigen Funktion verbunden sind, setzen eine vorherige Erprobungszeit voraus. Das Nähere, insbesondere die Dauer der Erprobungszeit und die Anrechnung von Zeiten, regeln die Laufbahnvorschriften.</w:t>
      </w:r>
    </w:p>
    <w:p>
      <w:r>
        <w:t xml:space="preserve">(3) Eine Beförderung ist unzulässig</w:t>
      </w:r>
    </w:p>
    <w:p>
      <w:r>
        <w:t xml:space="preserve">während der Probezeit,</w:t>
      </w:r>
    </w:p>
    <w:p>
      <w:r>
        <w:t xml:space="preserve">vor Ablauf eines Jahres seit Beendigung der Probezeit,</w:t>
      </w:r>
    </w:p>
    <w:p>
      <w:r>
        <w:t xml:space="preserve">vor Ablauf eines Jahres seit der letzten Beförderung, es sei denn, das bisherige Amt musste nicht regelmäßig durchlaufen werden.</w:t>
      </w:r>
    </w:p>
    <w:p>
      <w:r>
        <w:t xml:space="preserve">(4) Ämter, die nach der Gestaltung der Laufbahn regelmäßig zu durchlaufen sind, dürfen nicht übersprungen werden.</w:t>
      </w:r>
    </w:p>
    <w:p>
      <w:r>
        <w:t xml:space="preserve">(5) Der Landespersonalausschuss kann Ausnahmen von den Absätzen 2 bis 4 zulassen.</w:t>
      </w:r>
    </w:p>
    <w:p>
      <w:r>
        <w:rPr>
          <w:color w:val="555555"/>
          <w:sz w:val="17"/>
        </w:rPr>
        <w:t xml:space="preserve">Zitiervorschlag: § 20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