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LBG (Brandenburg) — Erwerb der Laufbahnbefähigung aufgrund des Gemeinschaftsrechts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Laufbahnbefähigung kann auch aufgrund der Richtlinie 2005/36/ EG des Europäischen Parlaments und des Rates vom 7. September 2005 über die Anerkennung von Berufsqualifikationen ( ABl. L 255 vom 30.9.2005, S. 22), die zuletzt durch die Richtlinie 2013/55/ EU (ABl. L 354 vom 28.12.2013, S. 132) geändert worden ist, erworben werden. Die erforderlichen Ausführungsvorschriften, insbesondere zu dem Anerkennungsverfahren, den Ausgleichsmaßnahmen und zur Verwaltungszusammenarbeit nach Titel V der Richtlinie 2005/36/EG, erlässt die Landesregierung, für die Laufbahnen des Schul- und Schulaufsichtsdienstes das für Schulwesen zuständige Mitglied der Landesregierung, durch Rechtsverordnung.</w:t>
      </w:r>
    </w:p>
    <w:p>
      <w:r>
        <w:t xml:space="preserve">(2) Die deutsche Sprache muss in dem für die Wahrnehmung der Aufgaben der Laufbahn erforderlichen Maß beherrscht werden. Sprachkenntnisse können überprüft werden, wenn erhebliche und konkrete Zweifel daran bestehen, dass sie für die berufliche Tätigkeit ausreichen. Eine Überprüfung darf erst nach Anerkennung der Berufsqualifikation vorgenommen werden und muss in angemessenem Verhältnis zur auszuübenden Tätigkeit stehen.</w:t>
      </w:r>
    </w:p>
    <w:p>
      <w:r>
        <w:t xml:space="preserve">(3) Für Amtshandlungen zur Anerkennung der Laufbahnbefähigung nach Absatz 1 kann die zuständige Behörde nach Maßgabe des Gebührengesetzes für das Land Brandenburg zur Deckung des Verwaltungsaufwands Gebühren und Auslagen erheben.</w:t>
      </w:r>
    </w:p>
    <w:p>
      <w:r>
        <w:rPr>
          <w:color w:val="555555"/>
          <w:sz w:val="17"/>
        </w:rPr>
        <w:t xml:space="preserve">Zitiervorschlag: § 15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