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127 LBG (Brandenburg) — Rechtsstellung der Mitglieder</w:t>
      </w:r>
    </w:p>
    <w:p>
      <w:r>
        <w:rPr>
          <w:color w:val="555555"/>
          <w:sz w:val="18"/>
        </w:rPr>
        <w:t xml:space="preserve">Landesbeamtengesetz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Die Dienstaufsicht über die Mitglieder des Landespersonalausschusses führt das für das allgemeine öffentliche Dienstrecht zuständige Mitglied der Landesregierung im Auftrag der Landesregierung mit folgenden Maßgaben:</w:t>
      </w:r>
    </w:p>
    <w:p>
      <w:r>
        <w:t xml:space="preserve">Die Mitglieder des Landespersonalausschusses sind unabhängig und nur dem Gesetz unterworfen. Sie dürfen wegen ihrer Tätigkeit nicht dienstlich gemaßregelt, benachteiligt oder bevorzugt werden.</w:t>
      </w:r>
    </w:p>
    <w:p>
      <w:r>
        <w:t xml:space="preserve">Sie scheiden aus ihrem Amt als Mitglied des Landespersonalausschusses aus</w:t>
      </w:r>
    </w:p>
    <w:p>
      <w:r>
        <w:t xml:space="preserve">durch Zeitablauf,</w:t>
      </w:r>
    </w:p>
    <w:p>
      <w:r>
        <w:t xml:space="preserve">durch Ausscheiden aus der Behörde, die für ihre Mitgliedschaft maßgeblich ist,</w:t>
      </w:r>
    </w:p>
    <w:p>
      <w:r>
        <w:t xml:space="preserve">durch Beendigung des Beamtenverhältnisses,</w:t>
      </w:r>
    </w:p>
    <w:p>
      <w:r>
        <w:t xml:space="preserve">durch Ruhen des Beamtenverhältnisses,</w:t>
      </w:r>
    </w:p>
    <w:p>
      <w:r>
        <w:t xml:space="preserve">unter den gleichen Voraussetzungen, unter denen der Beamtenbeisitzer einer Kammer für Disziplinarsachen nach § 51 Abs. 1 des Landesdisziplinargesetzes vom Amt zu entbinden ist.</w:t>
      </w:r>
    </w:p>
    <w:p>
      <w:r>
        <w:t xml:space="preserve">Die Mitgliedschaft im Landespersonalausschuss ruht während der Dauer eines Disziplinarverfahrens sowie während der Dauer eines nach § 54 erlassenen Verbots, die Dienstgeschäfte zu führen.</w:t>
      </w:r>
    </w:p>
    <w:p>
      <w:r>
        <w:rPr>
          <w:color w:val="555555"/>
          <w:sz w:val="17"/>
        </w:rPr>
        <w:t xml:space="preserve">Zitiervorschlag: § 127 LBG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https://recht.nulegal.eu/gesetze/bb-lbg--2009/127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