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LBG (Brandenburg) — Beamte auf Zeit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Beamte auf Zeit dürfen bei ihrer ersten Berufung in ein Beamtenverhältnis auf Zeit im Land Brandenburg das 62. Lebensjahr noch nicht vollendet haben.</w:t>
      </w:r>
    </w:p>
    <w:p>
      <w:r>
        <w:t xml:space="preserve">(2) § 46 ist anzuwenden, wenn der Beamte eine Amtszeit von mindestens acht Jahren oder eine ruhegehaltfähige Dienstzeit von mindestens zehn Jahren erreicht hat.</w:t>
      </w:r>
    </w:p>
    <w:p>
      <w:r>
        <w:t xml:space="preserve">(3) Mit Ablauf der Amtszeit treten Beamte auf Zeit, die die Wartezeit im Sinne versorgungsrechtlicher Vorschriften erfüllt haben, in den Ruhestand, wenn sie das 45. Lebensjahr vollendet haben und trotz Bereitschaft zur Wiederwahl eine neue Amtszeit nicht antreten.</w:t>
      </w:r>
    </w:p>
    <w:p>
      <w:r>
        <w:t xml:space="preserve">(4) Tritt der Beamte auf Zeit mit Ablauf der Amtszeit nicht in den Ruhestand, so ist er zu diesem Zeitpunkt entlassen, wenn er nicht im Anschluss an seine Amtszeit erneut in dasselbe Amt für eine weitere Amtszeit berufen wird. Wird er erneut berufen, so gilt das Beamtenverhältnis als nicht unterbrochen.</w:t>
      </w:r>
    </w:p>
    <w:p>
      <w:r>
        <w:t xml:space="preserve">(5) Der einstweilige Ruhestand eines Beamten auf Zeit endet mit dem Ablauf seiner Amtszeit. Der Beamte gilt zu diesem Zeitpunkt als dauernd in den Ruhestand versetzt, wenn er bei Verbleiben im Amt mit Ablauf der Amtszeit in den Ruhestand getreten wäre.</w:t>
      </w:r>
    </w:p>
    <w:p>
      <w:r>
        <w:t xml:space="preserve">(6) Soweit gesetzlich nichts anderes bestimmt ist, ist ein Beamter auf Zeit, der aus einem Beamtenverhältnis auf Lebenszeit zum Beamten auf Zeit ernannt worden war und nach Ablauf seiner ersten Amtszeit nicht für eine neue Amtszeit wieder ernannt wird und deshalb entlassen ist, auf seinen Antrag hin wieder in das frühere Dienstverhältnis zu übernehmen. Ihm ist ein Amt derselben oder einer anderen Laufbahn zu übertragen, das mit mindestens demselben Endgrundgehalt verbunden ist wie das Amt, das er zum Zeitpunkt der Beendigung des Beamtenverhältnisses auf Lebenszeit innehatte; § 30 Absatz 2 Satz 2 und 3 gilt entsprechend. Der Antrag auf Übernahme ist spätestens drei Monate nach Beendigung der Amtszeit zu stellen. Bei Gemeinden und Gemeindeverbänden sind nur Landkreise und kreisfreie Städte zur Übernahme nach Satz 1 verpflichtet.</w:t>
      </w:r>
    </w:p>
    <w:p>
      <w:r>
        <w:rPr>
          <w:color w:val="555555"/>
          <w:sz w:val="17"/>
        </w:rPr>
        <w:t xml:space="preserve">Zitiervorschlag: § 122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