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119 LBG (Brandenburg) — Ehrenbeamte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Ehrenbeamte gelten die Vorschriften des Beamtenstatusgesetzes und dieses Gesetzes mit den sich aus der Natur des Ehrenbeamtenverhältnisses ergebenden folgenden Maßgaben:</w:t>
      </w:r>
    </w:p>
    <w:p>
      <w:r>
        <w:t xml:space="preserve">Der Ehrenbeamte kann nach Erreichen der für Beamte auf Lebenszeit geltenden Regelaltersgrenze verabschiedet werden. Er ist zu verabschieden, wenn die Voraussetzungen gegeben sind, unter denen ein Beamter auf Lebenszeit in den Ruhestand oder in den einstweiligen Ruhestand zu versetzen ist oder versetzt werden kann. Das Ehrenbeamtenverhältnis endet auch ohne Verabschiedung durch Zeitablauf, wenn der Ehrenbeamte für eine bestimmte Amtszeit ernannt worden ist. § 69 Abs. 5 gilt entsprechend.</w:t>
      </w:r>
    </w:p>
    <w:p>
      <w:r>
        <w:t xml:space="preserve">Nicht anzuwenden sind insbesondere die Vorschriften über die Anfrage bei der Verfassungsschutzbehörde vor der Einstellung (§ 3a), das Erlöschen privatrechtlicher Arbeitsverhältnisse (§ 4 Abs. 6), Ernennung und Entlassung nach Erreichen der Altersgrenze (§ 23 Abs. 1 Nr. 5 des Beamtenstatusgesetzes), Arbeitszeit (§ 76), Wohnung und Aufenthalt (§ 58), Ruhen der Rechte und Pflichten aus dem Dienstverhältnis bei Wahl in eine gesetzgebende Körperschaft (§ 72), Abordnung und Versetzung (§§ 29, 30).</w:t>
      </w:r>
    </w:p>
    <w:p>
      <w:r>
        <w:t xml:space="preserve">Der Ehrenbeamte kann auch in der Zeit zwischen dem Wahltag zum Landtag Brandenburg und dem Tag der Ernennung der Mitglieder der Landesregierung berufen werden.</w:t>
      </w:r>
    </w:p>
    <w:p>
      <w:r>
        <w:t xml:space="preserve">(2) Die Unfallfürsorge richtet sich nach den für Ehrenbeamte geltenden versorgungsrechtlichen Vorschriften.</w:t>
      </w:r>
    </w:p>
    <w:p>
      <w:r>
        <w:t xml:space="preserve">(3) Im Übrigen regeln sich die Rechtsverhältnisse der Ehrenbeamten nach den besonderen für die einzelnen Gruppen der Ehrenbeamten geltenden Vorschriften.</w:t>
      </w:r>
    </w:p>
    <w:p>
      <w:r>
        <w:rPr>
          <w:color w:val="555555"/>
          <w:sz w:val="17"/>
        </w:rPr>
        <w:t xml:space="preserve">Zitiervorschlag: § 119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119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