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102 LBG (Brandenburg) — Beschwerden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Beamte kann Anträge und Beschwerden vorbringen; hierbei hat er den Dienstweg einzuhalten. Der Beschwerdeweg bis zur obersten Dienstbehörde steht ihm offen.</w:t>
      </w:r>
    </w:p>
    <w:p>
      <w:r>
        <w:t xml:space="preserve">(2) Richtet sich die Beschwerde gegen den unmittelbaren Vorgesetzten, so kann sie bei dem nächsthöheren Vorgesetzten eingelegt werden.</w:t>
      </w:r>
    </w:p>
    <w:p>
      <w:r>
        <w:t xml:space="preserve">„(3) Beamte, die eine Meldung oder Offenlegung nach dem Hinweisgeberschutzgesetz vom 31. Mai 2023 ( BGBl. 2023 I Nr. 140) in der jeweils geltenden Fassung vornehmen, sind von der Einhaltung des Dienstwegs befreit.</w:t>
      </w:r>
    </w:p>
    <w:p>
      <w:r>
        <w:rPr>
          <w:color w:val="555555"/>
          <w:sz w:val="17"/>
        </w:rPr>
        <w:t xml:space="preserve">Zitiervorschlag: § 102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https://recht.nulegal.eu/gesetze/bb-lbg--2009/102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