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JABG (Brandenburg) — Außerkrafttreten</w:t>
      </w:r>
    </w:p>
    <w:p>
      <w:r>
        <w:rPr>
          <w:color w:val="555555"/>
          <w:sz w:val="18"/>
        </w:rPr>
        <w:t xml:space="preserve">Jahresabschlussbeschleunigungsgesetz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21.08.2026 (konsolidierte Textfassung, kein amtliches Inkrafttretensdatum)</w:t>
      </w:r>
    </w:p>
    <w:p>
      <w:r>
        <w:t xml:space="preserve">§ 1 tritt mit Ablauf des 31. Dezember 2022 und § 2 tritt mit Ablauf des 31. Dezember 2023 außer Kraft.</w:t>
      </w:r>
    </w:p>
    <w:p>
      <w:r>
        <w:rPr>
          <w:color w:val="555555"/>
          <w:sz w:val="17"/>
        </w:rPr>
        <w:t xml:space="preserve">Zitiervorschlag: § 3 JABG (Brandenburg)</w:t>
      </w:r>
    </w:p>
    <w:p>
      <w:r>
        <w:rPr>
          <w:color w:val="555555"/>
          <w:sz w:val="17"/>
        </w:rPr>
        <w:t xml:space="preserve">Quelle: bravors, abgerufen 21.08.2026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https://recht.nulegal.eu/gesetze/bb-jabg--2018/3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