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JABG (Brandenburg) — Jahresabschluss</w:t>
      </w:r>
    </w:p>
    <w:p>
      <w:r>
        <w:rPr>
          <w:color w:val="555555"/>
          <w:sz w:val="18"/>
        </w:rPr>
        <w:t xml:space="preserve">Jahresabschlussbeschleunigungsgesetz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Die Gemeinden und Gemeindeverbände können bei der Aufstellung der Jahresabschlüsse für die auf die Umstellung der Haushaltswirtschaft nach § 63 Absatz 3 der Kommunalverfassung des Landes Brandenburg folgenden Haushaltsjahre bis einschließlich für das Haushaltsjahr 2019 auf die Erstellung folgender Bestandteile und Anlagen verzichten:</w:t>
      </w:r>
    </w:p>
    <w:p>
      <w:r>
        <w:t xml:space="preserve">die Teilrechnungen nach § 82 Absatz 2 Satz 1 Nummer 3 der Kommunalverfassung des Landes Brandenburg,</w:t>
      </w:r>
    </w:p>
    <w:p>
      <w:r>
        <w:t xml:space="preserve">den Rechenschaftsbericht nach § 82 Absatz 2 Satz 1 Nummer 5 der Kommunalverfassung des Landes Brandenburg,</w:t>
      </w:r>
    </w:p>
    <w:p>
      <w:r>
        <w:t xml:space="preserve">die Anlagen-, Forderungs- und Verbindlichkeitenübersicht nach § 82 Absatz 2 Satz 2 Nummer 2 bis 4 der Kommunalverfassung des Landes Brandenburg und</w:t>
      </w:r>
    </w:p>
    <w:p>
      <w:r>
        <w:t xml:space="preserve">die Angaben nach § 58 Absatz 2 Nummer 3 bis 10 der Kommunalen Haushalts- und Kassenverordnung.</w:t>
      </w:r>
    </w:p>
    <w:p>
      <w:r>
        <w:t xml:space="preserve">Vor der Aufstellung der Jahresabschlüsse nach Satz 1 ist ein Beschluss der Gemeindevertretung erforderlich.</w:t>
      </w:r>
    </w:p>
    <w:p>
      <w:r>
        <w:t xml:space="preserve">(2) Die Jahresabschlüsse nach Absatz 1 können zeitlich gemeinsam mit dem Jahresabschluss für das Haushaltsjahr 2020 aufgestellt werden.</w:t>
      </w:r>
    </w:p>
    <w:p>
      <w:r>
        <w:rPr>
          <w:color w:val="555555"/>
          <w:sz w:val="17"/>
        </w:rPr>
        <w:t xml:space="preserve">Zitiervorschlag: § 1 JABG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https://recht.nulegal.eu/gesetze/bb-jabg--2018/1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