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ZABB (Brandenburg) — Inkrafttreten</w:t>
      </w:r>
    </w:p>
    <w:p>
      <w:r>
        <w:rPr>
          <w:color w:val="555555"/>
          <w:sz w:val="18"/>
        </w:rPr>
        <w:t xml:space="preserve">Gesetz zum Staatsvertrag über die Zentrale Adoptionsstelle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gemäß seinem Artikel 9 Satz 2 in Kraft tritt, ist im Gesetz- und Verordnungsblatt für das Land Brandenburg Teil I bekannt zu geben.</w:t>
      </w:r>
    </w:p>
    <w:p>
      <w:r>
        <w:t xml:space="preserve">Potsdam, den 18. Dezember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ZABB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https://recht.nulegal.eu/gesetze/bb-id262007--2025/2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