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HG 2013/2014 (Brandenburg) — Besondere Regelungen für den Brandenburgischen Landesbetrieb für Liegenschaften und Bauen (BLB)</w:t>
      </w:r>
    </w:p>
    <w:p>
      <w:r>
        <w:rPr>
          <w:color w:val="555555"/>
          <w:sz w:val="18"/>
        </w:rPr>
        <w:t xml:space="preserve">Haushaltsgesetz 2013/2014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</w:t>
      </w:r>
    </w:p>
    <w:p>
      <w:r>
        <w:t xml:space="preserve">Finanzen wird ermächtigt, nach Bestätigung des Wirtschaftsplans für den</w:t>
      </w:r>
    </w:p>
    <w:p>
      <w:r>
        <w:t xml:space="preserve">Landesbetrieb Einnahmen, Ausgaben, Verpflichtungsermächtigungen, Planstellen und</w:t>
      </w:r>
    </w:p>
    <w:p>
      <w:r>
        <w:t xml:space="preserve">Stellen in den Landesbetrieb umzusetzen, soweit weitere Liegenschaften in die</w:t>
      </w:r>
    </w:p>
    <w:p>
      <w:r>
        <w:t xml:space="preserve">Teilnahme am Vermieter-Mieter-Modell überführt werden.</w:t>
      </w:r>
    </w:p>
    <w:p>
      <w:r>
        <w:t xml:space="preserve">(2) Die Ansätze bei den</w:t>
      </w:r>
    </w:p>
    <w:p>
      <w:r>
        <w:t xml:space="preserve">Titeln 518 25 sind bis zum Abschluss der jeweiligen Mietverträge mit dem BLB</w:t>
      </w:r>
    </w:p>
    <w:p>
      <w:r>
        <w:t xml:space="preserve">gesperrt. Von dieser Sperre sind Ausgaben nicht erfasst, die im Zusammenhang mit</w:t>
      </w:r>
    </w:p>
    <w:p>
      <w:r>
        <w:t xml:space="preserve">der Bewirtschaftung der Liegenschaften stehen.</w:t>
      </w:r>
    </w:p>
    <w:p>
      <w:r>
        <w:t xml:space="preserve">(3) Nicht veranschlagte</w:t>
      </w:r>
    </w:p>
    <w:p>
      <w:r>
        <w:t xml:space="preserve">Ausgaben für Mieten nach dem Vermieter-Mieter-Modell beim Titel 518 25 stellen</w:t>
      </w:r>
    </w:p>
    <w:p>
      <w:r>
        <w:t xml:space="preserve">keine Mehrausgaben nach § 37 der Landeshaushaltsordnung dar. Sie können vom</w:t>
      </w:r>
    </w:p>
    <w:p>
      <w:r>
        <w:t xml:space="preserve">Ministerium der Finanzen zugelassen werden, wenn sie durch Minderausgaben oder</w:t>
      </w:r>
    </w:p>
    <w:p>
      <w:r>
        <w:t xml:space="preserve">Mehreinnahmen an anderer Stelle gedeckt sind.</w:t>
      </w:r>
    </w:p>
    <w:p>
      <w:r>
        <w:t xml:space="preserve">(4) Die Ansätze des</w:t>
      </w:r>
    </w:p>
    <w:p>
      <w:r>
        <w:t xml:space="preserve">Titels 518 25 sind innerhalb des jeweiligen Einzelplans gegenseitig</w:t>
      </w:r>
    </w:p>
    <w:p>
      <w:r>
        <w:t xml:space="preserve">deckungsfähig.</w:t>
      </w:r>
    </w:p>
    <w:p>
      <w:r>
        <w:t xml:space="preserve">(5) Vom BLB zurückgezahlte</w:t>
      </w:r>
    </w:p>
    <w:p>
      <w:r>
        <w:t xml:space="preserve">Beträge aus der Abrechnung von Betriebs- und Nebenkosten sind bei Titel 518 25</w:t>
      </w:r>
    </w:p>
    <w:p>
      <w:r>
        <w:t xml:space="preserve">und bei Kapitel 12 020 bei Titel 518 61 abzusetzen.</w:t>
      </w:r>
    </w:p>
    <w:p>
      <w:r>
        <w:rPr>
          <w:color w:val="555555"/>
          <w:sz w:val="17"/>
        </w:rPr>
        <w:t xml:space="preserve">Zitiervorschlag: § 7 HG 2013/2014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https://recht.nulegal.eu/gesetze/bb-id212785/7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