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HG 2013/2014 (Brandenburg) — Weitergeltung von Vorschriften und Ermächtigungen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Vorschriften und</w:t>
      </w:r>
    </w:p>
    <w:p>
      <w:r>
        <w:t xml:space="preserve">Ermächtigungen in den §§ 3, 4, 5, 6, 8 Absatz 1 und 2, §§ 11 bis 15 und 17</w:t>
      </w:r>
    </w:p>
    <w:p>
      <w:r>
        <w:t xml:space="preserve">gelten bis zur Verkündung des Haushaltsgesetzes 2015 weiter.</w:t>
      </w:r>
    </w:p>
    <w:p>
      <w:r>
        <w:rPr>
          <w:color w:val="555555"/>
          <w:sz w:val="17"/>
        </w:rPr>
        <w:t xml:space="preserve">Zitiervorschlag: § 19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