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HG 2013/2014 (Brandenburg) — Vergabe leistungsbezogener Besoldungselemente an Beamte</w:t>
      </w:r>
    </w:p>
    <w:p>
      <w:r>
        <w:rPr>
          <w:color w:val="555555"/>
          <w:sz w:val="18"/>
        </w:rPr>
        <w:t xml:space="preserve">Haushaltsgesetz 2013/2014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Für die Vergabe von</w:t>
      </w:r>
    </w:p>
    <w:p>
      <w:r>
        <w:t xml:space="preserve">Leistungsstufen ist die Brandenburgische Leistungsstufenverordnung sowie für die</w:t>
      </w:r>
    </w:p>
    <w:p>
      <w:r>
        <w:t xml:space="preserve">Vergabe von Leistungsprämien und Leistungszulagen die Brandenburgische</w:t>
      </w:r>
    </w:p>
    <w:p>
      <w:r>
        <w:t xml:space="preserve">Leistungsprämien- und -zulagenverordnung anzuwenden.</w:t>
      </w:r>
    </w:p>
    <w:p>
      <w:r>
        <w:t xml:space="preserve">(2) Innerhalb eines</w:t>
      </w:r>
    </w:p>
    <w:p>
      <w:r>
        <w:t xml:space="preserve">Kapitels dürfen Zulagen für eine befristete Übertragung einer herausgehobenen</w:t>
      </w:r>
    </w:p>
    <w:p>
      <w:r>
        <w:t xml:space="preserve">Funktion nach § 45 des Bundesbesoldungsgesetzes für Beamte bis zur Höhe von 0,1</w:t>
      </w:r>
    </w:p>
    <w:p>
      <w:r>
        <w:t xml:space="preserve">Prozent der Ausgaben der Titel 422 10 geleistet werden. In den Einzelplänen 02</w:t>
      </w:r>
    </w:p>
    <w:p>
      <w:r>
        <w:t xml:space="preserve">bis 12 dürfen die Zulagen nur im Einvernehmen mit dem Ministerium der Finanzen</w:t>
      </w:r>
    </w:p>
    <w:p>
      <w:r>
        <w:t xml:space="preserve">gewährt werden. Das Ministerium der Finanzen kann hinsichtlich der Ausgabenhöhe</w:t>
      </w:r>
    </w:p>
    <w:p>
      <w:r>
        <w:t xml:space="preserve">in Satz 1 Ausnahmen zulassen.</w:t>
      </w:r>
    </w:p>
    <w:p>
      <w:r>
        <w:t xml:space="preserve">(3) Die für die Vergabe</w:t>
      </w:r>
    </w:p>
    <w:p>
      <w:r>
        <w:t xml:space="preserve">leistungsbezogener Besoldungselemente anfallenden Ausgaben sind aus Einsparungen</w:t>
      </w:r>
    </w:p>
    <w:p>
      <w:r>
        <w:t xml:space="preserve">bei anderen Titeln der Hauptgruppe 4 im jeweiligen Einzelplan (ausgenommen</w:t>
      </w:r>
    </w:p>
    <w:p>
      <w:r>
        <w:t xml:space="preserve">Gruppen 432 und 453) oder durch Entnahmen aus der Rücklage Personalbudget zu</w:t>
      </w:r>
    </w:p>
    <w:p>
      <w:r>
        <w:t xml:space="preserve">decken.</w:t>
      </w:r>
    </w:p>
    <w:p>
      <w:r>
        <w:rPr>
          <w:color w:val="555555"/>
          <w:sz w:val="17"/>
        </w:rPr>
        <w:t xml:space="preserve">Zitiervorschlag: § 15 HG 2013/2014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https://recht.nulegal.eu/gesetze/bb-id212785/15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