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HG 2013/2014 (Brandenburg) — Personalwirtschaftliche Regelungen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Zur Einhaltung des</w:t>
      </w:r>
    </w:p>
    <w:p>
      <w:r>
        <w:t xml:space="preserve">Stellenplans gemäß der gültigen Personalbedarfsplanung des Landes Brandenburg</w:t>
      </w:r>
    </w:p>
    <w:p>
      <w:r>
        <w:t xml:space="preserve">und des Personalbudgets sind die Ressorts verpflichtet, alle Möglichkeiten zur</w:t>
      </w:r>
    </w:p>
    <w:p>
      <w:r>
        <w:t xml:space="preserve">Einsparung von Planstellen, Stellen, Beschäftigungspositionen und</w:t>
      </w:r>
    </w:p>
    <w:p>
      <w:r>
        <w:t xml:space="preserve">Personalausgaben zu nutzen. Dazu können abweichend von § 50 Absatz 1 Satz 1 der</w:t>
      </w:r>
    </w:p>
    <w:p>
      <w:r>
        <w:t xml:space="preserve">Landeshaushaltsordnung auch Mittel oder Planstellen und Stellen umgesetzt</w:t>
      </w:r>
    </w:p>
    <w:p>
      <w:r>
        <w:t xml:space="preserve">werden, ohne dass Aufgaben von einer Verwaltung auf eine andere Verwaltung</w:t>
      </w:r>
    </w:p>
    <w:p>
      <w:r>
        <w:t xml:space="preserve">übergehen. Das Nähere regelt das Ministerium der Finanzen.</w:t>
      </w:r>
    </w:p>
    <w:p>
      <w:r>
        <w:t xml:space="preserve">(2) Die Erläuterungen zu</w:t>
      </w:r>
    </w:p>
    <w:p>
      <w:r>
        <w:t xml:space="preserve">den Titeln der Gruppe 422 für Stellen der Beamten auf Probe bis zur Anstellung</w:t>
      </w:r>
    </w:p>
    <w:p>
      <w:r>
        <w:t xml:space="preserve">und zu den Titeln der Gruppe 428 sind hinsichtlich der zulässigen Zahl der für</w:t>
      </w:r>
    </w:p>
    <w:p>
      <w:r>
        <w:t xml:space="preserve">die einzelnen Besoldungs- und Entgeltgruppen ausgebrachten Stellen verbindlich.</w:t>
      </w:r>
    </w:p>
    <w:p>
      <w:r>
        <w:t xml:space="preserve">Die den Wirtschaftsplänen der Landesbetriebe nach § 26 Absatz 1 der</w:t>
      </w:r>
    </w:p>
    <w:p>
      <w:r>
        <w:t xml:space="preserve">Landeshaushaltsordnung beigefügten Stellenübersichten sind verbindlich. Das</w:t>
      </w:r>
    </w:p>
    <w:p>
      <w:r>
        <w:t xml:space="preserve">Ministerium der Finanzen kann Ausnahmen von der Verbindlichkeit der Stellenpläne</w:t>
      </w:r>
    </w:p>
    <w:p>
      <w:r>
        <w:t xml:space="preserve">für die Landesbetriebe zulassen.</w:t>
      </w:r>
    </w:p>
    <w:p>
      <w:r>
        <w:t xml:space="preserve">(3) Abweichend von § 49</w:t>
      </w:r>
    </w:p>
    <w:p>
      <w:r>
        <w:t xml:space="preserve">der Landeshaushaltsordnung können auf Planstellen auch beamtete Hilfskräfte und</w:t>
      </w:r>
    </w:p>
    <w:p>
      <w:r>
        <w:t xml:space="preserve">Arbeitnehmer geführt werden.</w:t>
      </w:r>
    </w:p>
    <w:p>
      <w:r>
        <w:t xml:space="preserve">(4) Einnahmen aus</w:t>
      </w:r>
    </w:p>
    <w:p>
      <w:r>
        <w:t xml:space="preserve">Zuschüssen für die berufliche Eingliederung behinderter Menschen und für</w:t>
      </w:r>
    </w:p>
    <w:p>
      <w:r>
        <w:t xml:space="preserve">Arbeitsbeschaffungsmaßnahmen fließen den entsprechenden Ansätzen für</w:t>
      </w:r>
    </w:p>
    <w:p>
      <w:r>
        <w:t xml:space="preserve">Personalausgaben zu. Innerhalb der einzelnen Kapitel fließen die Einnahmen den</w:t>
      </w:r>
    </w:p>
    <w:p>
      <w:r>
        <w:t xml:space="preserve">Ausgaben bei folgenden Titeln - einschließlich den entsprechenden Titeln - in</w:t>
      </w:r>
    </w:p>
    <w:p>
      <w:r>
        <w:t xml:space="preserve">Titelgruppen zu:</w:t>
      </w:r>
    </w:p>
    <w:p>
      <w:r>
        <w:t xml:space="preserve">Gruppe 428 aus Erstattungen der Förderleistungen der Bundesagentur für Arbeit in Bezug auf das Altersteilzeitgesetz,</w:t>
      </w:r>
    </w:p>
    <w:p>
      <w:r>
        <w:t xml:space="preserve">Gruppen 422, 428, 441, 443 und 446 aus Schadensersatzleistungen Dritter.</w:t>
      </w:r>
    </w:p>
    <w:p>
      <w:r>
        <w:t xml:space="preserve">(5) Planstellen und</w:t>
      </w:r>
    </w:p>
    <w:p>
      <w:r>
        <w:t xml:space="preserve">Stellen können für Zeiträume, in denen Stelleninhaber vorübergehend nicht oder</w:t>
      </w:r>
    </w:p>
    <w:p>
      <w:r>
        <w:t xml:space="preserve">nicht vollbeschäftigt sind, innerhalb des jeweiligen Einzelplans im Umfang der</w:t>
      </w:r>
    </w:p>
    <w:p>
      <w:r>
        <w:t xml:space="preserve">nicht in Anspruch genommenen Planstellen- oder Stellenanteile für die</w:t>
      </w:r>
    </w:p>
    <w:p>
      <w:r>
        <w:t xml:space="preserve">Beschäftigung von beamteten Hilfskräften und Kräften in zeitlich befristeten</w:t>
      </w:r>
    </w:p>
    <w:p>
      <w:r>
        <w:t xml:space="preserve">Arbeitsverträgen in Anspruch genommen werden.</w:t>
      </w:r>
    </w:p>
    <w:p>
      <w:r>
        <w:t xml:space="preserve">(6) Das Ministerium der</w:t>
      </w:r>
    </w:p>
    <w:p>
      <w:r>
        <w:t xml:space="preserve">Finanzen wird ermächtigt, Planstellen für Lehrkräfte zur Besetzung mit Beamten,</w:t>
      </w:r>
    </w:p>
    <w:p>
      <w:r>
        <w:t xml:space="preserve">für die die Einstufung nach Anlage 1 des Brandenburgischen Besoldungsgesetzes</w:t>
      </w:r>
    </w:p>
    <w:p>
      <w:r>
        <w:t xml:space="preserve">nicht gilt, nach Maßgabe des Bundesbesoldungsgesetzes in der am 31. August 2006</w:t>
      </w:r>
    </w:p>
    <w:p>
      <w:r>
        <w:t xml:space="preserve">geltenden Fassung zu heben.</w:t>
      </w:r>
    </w:p>
    <w:p>
      <w:r>
        <w:rPr>
          <w:color w:val="555555"/>
          <w:sz w:val="17"/>
        </w:rPr>
        <w:t xml:space="preserve">Zitiervorschlag: § 12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HG 2013/2014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