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HG 2008/2009 (Brandenburg) — Inkrafttreten</w:t>
      </w:r>
    </w:p>
    <w:p>
      <w:r>
        <w:rPr>
          <w:color w:val="555555"/>
          <w:sz w:val="18"/>
        </w:rPr>
        <w:t xml:space="preserve">Haushaltsgesetz 2008/2009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</w:t>
      </w:r>
    </w:p>
    <w:p>
      <w:r>
        <w:t xml:space="preserve">am 1. Januar 2008 in Kraft.</w:t>
      </w:r>
    </w:p>
    <w:p>
      <w:r>
        <w:t xml:space="preserve">Potsdam, den 18.</w:t>
      </w:r>
    </w:p>
    <w:p>
      <w:r>
        <w:t xml:space="preserve">Dezember 2007</w:t>
      </w:r>
    </w:p>
    <w:p>
      <w:r>
        <w:t xml:space="preserve">Der Präsident des</w:t>
      </w:r>
    </w:p>
    <w:p>
      <w:r>
        <w:t xml:space="preserve">Landtages Brandenburg</w:t>
      </w:r>
    </w:p>
    <w:p>
      <w:r>
        <w:t xml:space="preserve">Gunter Fritsch</w:t>
      </w:r>
    </w:p>
    <w:p>
      <w:r>
        <w:t xml:space="preserve">Haushaltsplan</w:t>
      </w:r>
    </w:p>
    <w:p>
      <w:r>
        <w:t xml:space="preserve">des Landes Brandenburg</w:t>
      </w:r>
    </w:p>
    <w:p>
      <w:r>
        <w:t xml:space="preserve">für die Haushaltsjahre 2008 und 2009</w:t>
      </w:r>
    </w:p>
    <w:p>
      <w:r>
        <w:t xml:space="preserve">Gesamtplan</w:t>
      </w:r>
    </w:p>
    <w:p>
      <w:r>
        <w:t xml:space="preserve">I.</w:t>
      </w:r>
    </w:p>
    <w:p>
      <w:r>
        <w:t xml:space="preserve">Haushaltsübersicht</w:t>
      </w:r>
    </w:p>
    <w:p>
      <w:r>
        <w:t xml:space="preserve">(§ 13 Abs. 4 Nr. 1 LHO)</w:t>
      </w:r>
    </w:p>
    <w:p>
      <w:r>
        <w:t xml:space="preserve">A.</w:t>
      </w:r>
    </w:p>
    <w:p>
      <w:r>
        <w:t xml:space="preserve">Zusammenfassung der Einnahmen und Ausgaben je Einzelplan</w:t>
      </w:r>
    </w:p>
    <w:p>
      <w:r>
        <w:t xml:space="preserve">II.</w:t>
      </w:r>
    </w:p>
    <w:p>
      <w:r>
        <w:t xml:space="preserve">Finanzierungsübersicht</w:t>
      </w:r>
    </w:p>
    <w:p>
      <w:r>
        <w:t xml:space="preserve">(§ 13 Abs. 4 Nr. 2 LHO)</w:t>
      </w:r>
    </w:p>
    <w:p>
      <w:r>
        <w:t xml:space="preserve">III.</w:t>
      </w:r>
    </w:p>
    <w:p>
      <w:r>
        <w:t xml:space="preserve">Kreditfinanzierungsplan</w:t>
      </w:r>
    </w:p>
    <w:p>
      <w:r>
        <w:t xml:space="preserve">(§ 13 Abs. 4 Nr. 3 LHO)</w:t>
      </w:r>
    </w:p>
    <w:p>
      <w:r>
        <w:rPr>
          <w:color w:val="555555"/>
          <w:sz w:val="17"/>
        </w:rPr>
        <w:t xml:space="preserve">Zitiervorschlag: § 20 HG 2008/2009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https://recht.nulegal.eu/gesetze/bb-id212385/20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