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HG 2008/2009 (Brandenburg) — Vergabe leistungsbezogener Besoldungselemente an Beamte und Leistungsentgelte an Arbeitnehmer</w:t>
      </w:r>
    </w:p>
    <w:p>
      <w:r>
        <w:rPr>
          <w:color w:val="555555"/>
          <w:sz w:val="18"/>
        </w:rPr>
        <w:t xml:space="preserve">Haushaltsgesetz 2008/2009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An bis zu 10</w:t>
      </w:r>
    </w:p>
    <w:p>
      <w:r>
        <w:t xml:space="preserve">vom Hundert der Beamten in Besoldungsgruppen der Besoldungsordnung A, die das</w:t>
      </w:r>
    </w:p>
    <w:p>
      <w:r>
        <w:t xml:space="preserve">Endgrundgehalt ihrer Besoldungsgruppe noch nicht erreicht haben, können</w:t>
      </w:r>
    </w:p>
    <w:p>
      <w:r>
        <w:t xml:space="preserve">Leistungsstufen nach Maßgabe der Rechtsverordnung zu § 27 Abs. 3 des</w:t>
      </w:r>
    </w:p>
    <w:p>
      <w:r>
        <w:t xml:space="preserve">Bundesbesoldungsgesetzes vergeben werden. Leistungsprämien und -zulagen nach</w:t>
      </w:r>
    </w:p>
    <w:p>
      <w:r>
        <w:t xml:space="preserve">Maßgabe der Rechtsverordnung zu § 42a des Bundesbesoldungsgesetzes können an bis</w:t>
      </w:r>
    </w:p>
    <w:p>
      <w:r>
        <w:t xml:space="preserve">zu 10 vom Hundert der Beamten in Besoldungsgruppen der Besoldungsordnung A</w:t>
      </w:r>
    </w:p>
    <w:p>
      <w:r>
        <w:t xml:space="preserve">vergeben werden.</w:t>
      </w:r>
    </w:p>
    <w:p>
      <w:r>
        <w:t xml:space="preserve">(2)</w:t>
      </w:r>
    </w:p>
    <w:p>
      <w:r>
        <w:t xml:space="preserve">Leistungsentgelte für Arbeitnehmer richten sich nach § 18 des Tarifvertrages für</w:t>
      </w:r>
    </w:p>
    <w:p>
      <w:r>
        <w:t xml:space="preserve">den öffentlichen Dienst der Länder (TV-L 2006).</w:t>
      </w:r>
    </w:p>
    <w:p>
      <w:r>
        <w:t xml:space="preserve">(3) Innerhalb eines Kapitels dürfen Zulagen</w:t>
      </w:r>
    </w:p>
    <w:p>
      <w:r>
        <w:t xml:space="preserve">für eine befristete Übertragung einer herausgehobenen Funktion nach § 45 des</w:t>
      </w:r>
    </w:p>
    <w:p>
      <w:r>
        <w:t xml:space="preserve">Bundesbesoldungsgesetzes für Beamte bis zur Höhe von 0,1 vom Hundert der</w:t>
      </w:r>
    </w:p>
    <w:p>
      <w:r>
        <w:t xml:space="preserve">Ausgaben der Titel 422 10 geleistet werden. In den Einzelplänen 02 bis 12 dürfen</w:t>
      </w:r>
    </w:p>
    <w:p>
      <w:r>
        <w:t xml:space="preserve">die Zulagen nur im Einvernehmen mit dem Ministerium der Finanzen gewährt werden.</w:t>
      </w:r>
    </w:p>
    <w:p>
      <w:r>
        <w:t xml:space="preserve">(4) Die für die</w:t>
      </w:r>
    </w:p>
    <w:p>
      <w:r>
        <w:t xml:space="preserve">Vergabe leistungsbezogener Besoldungselemente anfallenden Ausgaben sind aus</w:t>
      </w:r>
    </w:p>
    <w:p>
      <w:r>
        <w:t xml:space="preserve">Einsparungen bei anderen Titeln der Hauptgruppe 4 im jeweiligen Einzelplan</w:t>
      </w:r>
    </w:p>
    <w:p>
      <w:r>
        <w:t xml:space="preserve">(ausgenommen Gruppen 432 und 453) oder durch Entnahmen aus der Rücklage</w:t>
      </w:r>
    </w:p>
    <w:p>
      <w:r>
        <w:t xml:space="preserve">Personalbudget zu decken.</w:t>
      </w:r>
    </w:p>
    <w:p>
      <w:r>
        <w:rPr>
          <w:color w:val="555555"/>
          <w:sz w:val="17"/>
        </w:rPr>
        <w:t xml:space="preserve">Zitiervorschlag: § 15 HG 2008/2009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https://recht.nulegal.eu/gesetze/bb-id212385/15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