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2008/2009 (Brandenburg) — Besondere Regelungen für Zuwendungen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</w:t>
      </w:r>
    </w:p>
    <w:p>
      <w:r>
        <w:t xml:space="preserve">Verpflichtungsermächtigungen für Zuwendungen im Sinne des § 23 der</w:t>
      </w:r>
    </w:p>
    <w:p>
      <w:r>
        <w:t xml:space="preserve">Landeshaushaltsordnung zur Deckung der gesamten Ausgaben oder eines nicht</w:t>
      </w:r>
    </w:p>
    <w:p>
      <w:r>
        <w:t xml:space="preserve">abgegrenzten Teils der Ausgaben einer Stelle außerhalb der Landesverwaltung</w:t>
      </w:r>
    </w:p>
    <w:p>
      <w:r>
        <w:t xml:space="preserve">(institutionelle Förderung), bei der der Zuwendungsbedarf vom Land zu mindestens</w:t>
      </w:r>
    </w:p>
    <w:p>
      <w:r>
        <w:t xml:space="preserve">50 vom Hundert gedeckt wird, sind gesperrt, bis der Haushalts- oder</w:t>
      </w:r>
    </w:p>
    <w:p>
      <w:r>
        <w:t xml:space="preserve">Wirtschaftsplan des Zuwendungsempfängers von dem zuständigen Ministerium und dem</w:t>
      </w:r>
    </w:p>
    <w:p>
      <w:r>
        <w:t xml:space="preserve">Ministerium der Finanzen gebilligt worden ist.</w:t>
      </w:r>
    </w:p>
    <w:p>
      <w:r>
        <w:t xml:space="preserve">(2) Die in Absatz 1</w:t>
      </w:r>
    </w:p>
    <w:p>
      <w:r>
        <w:t xml:space="preserve">genannten Zuwendungen zur institutionellen Förderung dürfen nur mit der Auflage</w:t>
      </w:r>
    </w:p>
    <w:p>
      <w:r>
        <w:t xml:space="preserve">bewilligt werden, dass der Zuwendungsempfänger seine Beschäftigten nicht besser</w:t>
      </w:r>
    </w:p>
    <w:p>
      <w:r>
        <w:t xml:space="preserve">stellt als vergleichbare Bedienstete des Landes; vorbehaltlich einer</w:t>
      </w:r>
    </w:p>
    <w:p>
      <w:r>
        <w:t xml:space="preserve">abweichenden tarifvertraglichen Regelung dürfen deshalb keine günstigeren</w:t>
      </w:r>
    </w:p>
    <w:p>
      <w:r>
        <w:t xml:space="preserve">Arbeitsbedingungen vereinbart werden, als sie für Bedienstete des Landes jeweils</w:t>
      </w:r>
    </w:p>
    <w:p>
      <w:r>
        <w:t xml:space="preserve">vorgesehen sind. Entsprechendes gilt bei Zuwendungen zur Projektförderung, wenn</w:t>
      </w:r>
    </w:p>
    <w:p>
      <w:r>
        <w:t xml:space="preserve">die Gesamtausgaben des Zuwendungsempfängers überwiegend aus Zuwendungen der</w:t>
      </w:r>
    </w:p>
    <w:p>
      <w:r>
        <w:t xml:space="preserve">öffentlichen Hand bestritten werden. Das Ministerium der Finanzen kann bei</w:t>
      </w:r>
    </w:p>
    <w:p>
      <w:r>
        <w:t xml:space="preserve">Vorliegen zwingender Gründe Ausnahmen zulassen.</w:t>
      </w:r>
    </w:p>
    <w:p>
      <w:r>
        <w:t xml:space="preserve">(3) Die in den</w:t>
      </w:r>
    </w:p>
    <w:p>
      <w:r>
        <w:t xml:space="preserve">Erläuterungen zu den Titeln, aus denen Zuwendungen im Sinne des § 23 der</w:t>
      </w:r>
    </w:p>
    <w:p>
      <w:r>
        <w:t xml:space="preserve">Landeshaushaltsordnung zur institutionellen Förderung geleistet werden, für</w:t>
      </w:r>
    </w:p>
    <w:p>
      <w:r>
        <w:t xml:space="preserve">andere als Projektaufgaben ausgebrachte Planstellen für Beamte sowie Stellen für</w:t>
      </w:r>
    </w:p>
    <w:p>
      <w:r>
        <w:t xml:space="preserve">Arbeitnehmer sind hinsichtlich der Gesamtzahl und der Zahl der für die einzelnen</w:t>
      </w:r>
    </w:p>
    <w:p>
      <w:r>
        <w:t xml:space="preserve">Besoldungs- und Entgeltgruppen ausgebrachten Planstellen und Stellen</w:t>
      </w:r>
    </w:p>
    <w:p>
      <w:r>
        <w:t xml:space="preserve">verbindlich. Das Ministerium der Finanzen wird ermächtigt, Ausnahmen von der</w:t>
      </w:r>
    </w:p>
    <w:p>
      <w:r>
        <w:t xml:space="preserve">Verbindlichkeit der Stellenpläne zuzulassen. Die Wertigkeit außertariflicher</w:t>
      </w:r>
    </w:p>
    <w:p>
      <w:r>
        <w:t xml:space="preserve">Stellen ist durch die Angabe der entsprechenden Besoldungsgruppe zu</w:t>
      </w:r>
    </w:p>
    <w:p>
      <w:r>
        <w:t xml:space="preserve">kennzeichnen. Das Ministerium der Finanzen kann Abweichungen in den Wertigkeiten</w:t>
      </w:r>
    </w:p>
    <w:p>
      <w:r>
        <w:t xml:space="preserve">der Stellen zulassen. Sind im Wirtschaftsplan Stellen außerhalb der Anlagen B 2</w:t>
      </w:r>
    </w:p>
    <w:p>
      <w:r>
        <w:t xml:space="preserve">und B 3 zum Tarifvertrag der Länder (TV-L) ohne Angaben des Entgelts</w:t>
      </w:r>
    </w:p>
    <w:p>
      <w:r>
        <w:t xml:space="preserve">ausgebracht, bedarf die Festsetzung des Entgelts in jedem Einzelfall der</w:t>
      </w:r>
    </w:p>
    <w:p>
      <w:r>
        <w:t xml:space="preserve">vorherigen Zustimmung des Ministeriums der Finanzen. Sonstige Abweichungen</w:t>
      </w:r>
    </w:p>
    <w:p>
      <w:r>
        <w:t xml:space="preserve">bedürfen der Einwilligung des Ministeriums der Finanzen und setzen eine</w:t>
      </w:r>
    </w:p>
    <w:p>
      <w:r>
        <w:t xml:space="preserve">Tätigkeitsdarstellung voraus.</w:t>
      </w:r>
    </w:p>
    <w:p>
      <w:r>
        <w:rPr>
          <w:color w:val="555555"/>
          <w:sz w:val="17"/>
        </w:rPr>
        <w:t xml:space="preserve">Zitiervorschlag: § 11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