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HG 2005/2006 (Brandenburg) — Weitergeltung von Vorschriften und Ermächtigungen</w:t>
      </w:r>
    </w:p>
    <w:p>
      <w:r>
        <w:rPr>
          <w:color w:val="555555"/>
          <w:sz w:val="18"/>
        </w:rPr>
        <w:t xml:space="preserve">Haushaltsgesetz 2005/2006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und Ermächtigungen in den §§ 3, 4, 5, 6, 7</w:t>
      </w:r>
    </w:p>
    <w:p>
      <w:r>
        <w:t xml:space="preserve">Abs. 1 und 2, §§ 10, 11, 13, 14 und 16 gelten bis zur Verkündung</w:t>
      </w:r>
    </w:p>
    <w:p>
      <w:r>
        <w:t xml:space="preserve">des Haushaltsgesetzes 2007 weiter.</w:t>
      </w:r>
    </w:p>
    <w:p>
      <w:r>
        <w:t xml:space="preserve">§ 19</w:t>
      </w:r>
    </w:p>
    <w:p>
      <w:r>
        <w:t xml:space="preserve">In-Kraft-Treten</w:t>
      </w:r>
    </w:p>
    <w:p>
      <w:r>
        <w:t xml:space="preserve">Dieses Gesetz tritt mit Wirkung vom 1. Januar 2005 in Kraft.</w:t>
      </w:r>
    </w:p>
    <w:p>
      <w:r>
        <w:t xml:space="preserve">Potsdam, den 24. Mai 2005</w:t>
      </w:r>
    </w:p>
    <w:p>
      <w:r>
        <w:t xml:space="preserve">Der Präsident des Landtages Brandenburg</w:t>
      </w:r>
    </w:p>
    <w:p>
      <w:r>
        <w:t xml:space="preserve">Gunter Fritsch</w:t>
      </w:r>
    </w:p>
    <w:p>
      <w:r>
        <w:t xml:space="preserve">Anm.: Die Anlagen wurden nicht mit aufgenommen.</w:t>
      </w:r>
    </w:p>
    <w:p>
      <w:r>
        <w:rPr>
          <w:color w:val="555555"/>
          <w:sz w:val="17"/>
        </w:rPr>
        <w:t xml:space="preserve">Zitiervorschlag: § 18 HG 2005/2006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https://recht.nulegal.eu/gesetze/bb-id212216/18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