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Luftfahrtstaatsvertrag (Brandenburg)</w:t>
      </w:r>
    </w:p>
    <w:p>
      <w:r>
        <w:rPr>
          <w:color w:val="555555"/>
          <w:sz w:val="18"/>
        </w:rPr>
        <w:t xml:space="preserve">Gesetz zu dem Staatsvertrag vom 4. Mai 2006 zwischen dem Land Berlin und dem Land Brandenburg über die Zusammenarbeit auf dem Gebiet der Luftfahrtverwaltung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Dieses Gesetz tritt am Tage nach der Verkündung in Kraft.</w:t>
      </w:r>
    </w:p>
    <w:p>
      <w:r>
        <w:t xml:space="preserve">(2) Der Tag, an dem der Staatsvertrag nach seinem Artikel 11 in Kraft tritt, ist im Gesetz- und Verordnungsblatt für das Land Brandenburg Teil I bekannt zu geben.</w:t>
      </w:r>
    </w:p>
    <w:p>
      <w:r>
        <w:t xml:space="preserve">Potsdam, den 28. Juni 2006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t xml:space="preserve">zum Staatsvertrag</w:t>
      </w:r>
    </w:p>
    <w:p>
      <w:r>
        <w:rPr>
          <w:color w:val="555555"/>
          <w:sz w:val="17"/>
        </w:rPr>
        <w:t xml:space="preserve">Zitiervorschlag: § 2 Luftfahrtstaatsvertrag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https://recht.nulegal.eu/gesetze/bb-id212198--2006/2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