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2002/2003 (Brandenburg) — Besondere Regelungen für Zuwendungen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der</w:t>
      </w:r>
    </w:p>
    <w:p>
      <w:r>
        <w:t xml:space="preserve">der Zuwendungsbedarf vom Land zu mindestens 50 vom Hundert gedeckt wird, sind</w:t>
      </w:r>
    </w:p>
    <w:p>
      <w:r>
        <w:t xml:space="preserve">gesperrt, bis der Haushalts- oder Wirtschaftsplan des Zuwendungsempfängers</w:t>
      </w:r>
    </w:p>
    <w:p>
      <w:r>
        <w:t xml:space="preserve">von dem zuständigen Ministerium und dem Ministerium der Finanzen gebilligt</w:t>
      </w:r>
    </w:p>
    <w:p>
      <w:r>
        <w:t xml:space="preserve">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dass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Das Ministerium der Finanzen kann bei Vorliegen zwingender Gründe</w:t>
      </w:r>
    </w:p>
    <w:p>
      <w:r>
        <w:t xml:space="preserve">Ausnahmen 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 Planstellen für Beamte sowie Stellen für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Das Ministerium der Finanzen wird</w:t>
      </w:r>
    </w:p>
    <w:p>
      <w:r>
        <w:t xml:space="preserve">ermächtigt, zur Erprobung eines Modellversuchs “Budgetierung”</w:t>
      </w:r>
    </w:p>
    <w:p>
      <w:r>
        <w:t xml:space="preserve">Ausnahmen von der Verbindlichkeit der Stellenpläne zuzulassen. Die</w:t>
      </w:r>
    </w:p>
    <w:p>
      <w:r>
        <w:t xml:space="preserve">Wertigkeit übertariflicher Stellen ist durch die Angabe der entsprechenden</w:t>
      </w:r>
    </w:p>
    <w:p>
      <w:r>
        <w:t xml:space="preserve">Besoldungsgruppe zu kennzeichnen. Das Ministerium der Finanzen kann</w:t>
      </w:r>
    </w:p>
    <w:p>
      <w:r>
        <w:t xml:space="preserve">Abweichungen in den Wertigkeiten der Stellen im Tarifbereich zulassen.</w:t>
      </w:r>
    </w:p>
    <w:p>
      <w:r>
        <w:rPr>
          <w:color w:val="555555"/>
          <w:sz w:val="17"/>
        </w:rPr>
        <w:t xml:space="preserve">Zitiervorschlag: § 10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