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HG 2000/2001 (Brandenburg) — Mehrausgaben</w:t>
      </w:r>
    </w:p>
    <w:p>
      <w:r>
        <w:rPr>
          <w:color w:val="555555"/>
          <w:sz w:val="18"/>
        </w:rPr>
        <w:t xml:space="preserve">Haushaltsgesetz 2000/2001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gemäß § 37 Abs. 1 Satz 4 der</w:t>
      </w:r>
    </w:p>
    <w:p>
      <w:r>
        <w:t xml:space="preserve">Landeshaushaltsordnung zu bestimmende Betrag wird auf 15 000 000 Deutsche Mark</w:t>
      </w:r>
    </w:p>
    <w:p>
      <w:r>
        <w:t xml:space="preserve">Landesmittel festgesetzt, für Verpflichtungsermächtigungen</w:t>
      </w:r>
    </w:p>
    <w:p>
      <w:r>
        <w:t xml:space="preserve">(§ 38 Abs. 1 Satz 3 der Landeshaushaltsordnung) als Jahresbetrag.</w:t>
      </w:r>
    </w:p>
    <w:p>
      <w:r>
        <w:t xml:space="preserve">Überschreiten die Mehrausgaben im Einzelfall den Betrag von 10 000 000</w:t>
      </w:r>
    </w:p>
    <w:p>
      <w:r>
        <w:t xml:space="preserve">Deutsche Mark Landesmittel, bei Verpflichtungsermächtigungen als</w:t>
      </w:r>
    </w:p>
    <w:p>
      <w:r>
        <w:t xml:space="preserve">jährlich fällig werdender Betrag, ist die Einwilligung des</w:t>
      </w:r>
    </w:p>
    <w:p>
      <w:r>
        <w:t xml:space="preserve">Ausschusses für Haushalt und Finanzen des Landtages einzuholen.</w:t>
      </w:r>
    </w:p>
    <w:p>
      <w:r>
        <w:t xml:space="preserve">(2) Absatz 1 gilt nicht, sofern Rechtsverpflichtungen zu</w:t>
      </w:r>
    </w:p>
    <w:p>
      <w:r>
        <w:t xml:space="preserve">erfüllen sind oder Komplementärmittel von der Europäischen Union</w:t>
      </w:r>
    </w:p>
    <w:p>
      <w:r>
        <w:t xml:space="preserve">oder vom Bund unvorhergesehen bereitgestellt werden oder für die vom Land</w:t>
      </w:r>
    </w:p>
    <w:p>
      <w:r>
        <w:t xml:space="preserve">im Rahmen der Bundesauftragsverwaltung zu leistenden unvorhergesehenen und</w:t>
      </w:r>
    </w:p>
    <w:p>
      <w:r>
        <w:t xml:space="preserve">unabweisbaren Verwaltungsausgaben.</w:t>
      </w:r>
    </w:p>
    <w:p>
      <w:r>
        <w:t xml:space="preserve">(3) Das Ministerium der Finanzen wird ermächtigt, im</w:t>
      </w:r>
    </w:p>
    <w:p>
      <w:r>
        <w:t xml:space="preserve">Hinblick auf das mögliche Auseinanderfallen von Ausgaben und Einnahmen aus</w:t>
      </w:r>
    </w:p>
    <w:p>
      <w:r>
        <w:t xml:space="preserve">den Strukturfonds der Europäischen Union geeignete Regelungen zur Deckung</w:t>
      </w:r>
    </w:p>
    <w:p>
      <w:r>
        <w:t xml:space="preserve">zu treffen. Das Nähere regelt das Ministerium der Finanzen.</w:t>
      </w:r>
    </w:p>
    <w:p>
      <w:r>
        <w:t xml:space="preserve">(4) Einsparungen bei den Ausgaben für Heizung, Strom,</w:t>
      </w:r>
    </w:p>
    <w:p>
      <w:r>
        <w:t xml:space="preserve">sonstigen Energiebedarf (Gruppe 517) dürfen bis zur Höhe von</w:t>
      </w:r>
    </w:p>
    <w:p>
      <w:r>
        <w:t xml:space="preserve">500 000 Deutsche Mark zur Deckung von Ausgaben für Investitionen und</w:t>
      </w:r>
    </w:p>
    <w:p>
      <w:r>
        <w:t xml:space="preserve">für Schulungs- und Beratungsmaßnahmen zur Erzielung weiterer</w:t>
      </w:r>
    </w:p>
    <w:p>
      <w:r>
        <w:t xml:space="preserve">Energieeinsparungen und damit verbundener Kostensenkung verwendet werden.</w:t>
      </w:r>
    </w:p>
    <w:p>
      <w:r>
        <w:rPr>
          <w:color w:val="555555"/>
          <w:sz w:val="17"/>
        </w:rPr>
        <w:t xml:space="preserve">Zitiervorschlag: § 6 HG 2000/2001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https://recht.nulegal.eu/gesetze/bb-id211816/6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