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2000/2001 (Brandenburg) — Erprobung neuer Steuerungsinstrumente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Kapiteln für Behörden und Einrichtungen, die</w:t>
      </w:r>
    </w:p>
    <w:p>
      <w:r>
        <w:t xml:space="preserve">durch Haushaltsvermerk an Modellversuchen zur Flexibilisierung des</w:t>
      </w:r>
    </w:p>
    <w:p>
      <w:r>
        <w:t xml:space="preserve">Haushaltswesens teilnehmen, sind die Ausgaben innerhalb ihrer Hauptgruppe</w:t>
      </w:r>
    </w:p>
    <w:p>
      <w:r>
        <w:t xml:space="preserve">gegenseitig deckungsfähig und dürfen Mehreinnahmen in der Hauptgruppe</w:t>
      </w:r>
    </w:p>
    <w:p>
      <w:r>
        <w:t xml:space="preserve">1, Rücklagenentnahmen sowie Minderausgaben in den Hauptgruppen 4 und 5 zur</w:t>
      </w:r>
    </w:p>
    <w:p>
      <w:r>
        <w:t xml:space="preserve">Verstärkung anderer Ausgaben in der Hauptgruppe 5, in der Gruppe 711 und</w:t>
      </w:r>
    </w:p>
    <w:p>
      <w:r>
        <w:t xml:space="preserve">in der Obergruppe 81 herangezogen werden. Dies gilt nicht für Ausgaben der</w:t>
      </w:r>
    </w:p>
    <w:p>
      <w:r>
        <w:t xml:space="preserve">Gruppe 529 und für Minderausgaben bei drittfinanzierten Ansätzen.</w:t>
      </w:r>
    </w:p>
    <w:p>
      <w:r>
        <w:t xml:space="preserve">(2) Beim Jahresabschluss verbleibende Mehreinnahmen und</w:t>
      </w:r>
    </w:p>
    <w:p>
      <w:r>
        <w:t xml:space="preserve">Minderausgaben können bis zur Höhe von 80 vom Hundert einer</w:t>
      </w:r>
    </w:p>
    <w:p>
      <w:r>
        <w:t xml:space="preserve">Rücklage nach § 62 Abs. 3 Satz 2 der Landeshaushaltsordnung</w:t>
      </w:r>
    </w:p>
    <w:p>
      <w:r>
        <w:t xml:space="preserve">zugeführt werden. Nicht verbrauchte Einnahmen aus zweckgebundenen</w:t>
      </w:r>
    </w:p>
    <w:p>
      <w:r>
        <w:t xml:space="preserve">Drittmitteln dürfen der Rücklage in voller Höhe zugeführt</w:t>
      </w:r>
    </w:p>
    <w:p>
      <w:r>
        <w:t xml:space="preserve">werden. Das Nähere regelt das Ministerium der Finanzen, das auch die</w:t>
      </w:r>
    </w:p>
    <w:p>
      <w:r>
        <w:t xml:space="preserve">Bildung von Rücklagen für andere geeignete Bereiche zulassen kann.</w:t>
      </w:r>
    </w:p>
    <w:p>
      <w:r>
        <w:t xml:space="preserve">(3) Rücklagen können auch für Ausgaben der</w:t>
      </w:r>
    </w:p>
    <w:p>
      <w:r>
        <w:t xml:space="preserve">Hauptgruppe 4 entnommen werden, soweit sie aus für Personalausgaben</w:t>
      </w:r>
    </w:p>
    <w:p>
      <w:r>
        <w:t xml:space="preserve">bestimmten Drittmitteln stammen.</w:t>
      </w:r>
    </w:p>
    <w:p>
      <w:r>
        <w:t xml:space="preserve">(4) Für die Wirtschaftspläne der Hochschulen mit</w:t>
      </w:r>
    </w:p>
    <w:p>
      <w:r>
        <w:t xml:space="preserve">Globalhaushalten und der Landesbetriebe nach § 26 der</w:t>
      </w:r>
    </w:p>
    <w:p>
      <w:r>
        <w:t xml:space="preserve">Landeshaushaltsordnung gelten die Absätze 1 und 2 entsprechend und nach</w:t>
      </w:r>
    </w:p>
    <w:p>
      <w:r>
        <w:t xml:space="preserve">Maßgabe der jeweiligen Haushaltsvermerke.</w:t>
      </w:r>
    </w:p>
    <w:p>
      <w:r>
        <w:rPr>
          <w:color w:val="555555"/>
          <w:sz w:val="17"/>
        </w:rPr>
        <w:t xml:space="preserve">Zitiervorschlag: § 5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