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HG 2000/2001 (Brandenburg) — Personalwirtschaftliche Regelungen</w:t>
      </w:r>
    </w:p>
    <w:p>
      <w:r>
        <w:rPr>
          <w:color w:val="555555"/>
          <w:sz w:val="18"/>
        </w:rPr>
        <w:t xml:space="preserve">Haushaltsgesetz 2000/2001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Innerhalb des jeweiligen Einzelplans sind die Ausgaben der</w:t>
      </w:r>
    </w:p>
    <w:p>
      <w:r>
        <w:t xml:space="preserve">Hauptgruppe 4, mit Ausnahme der Ausgaben der Gruppe 411 - Aufwendungen für</w:t>
      </w:r>
    </w:p>
    <w:p>
      <w:r>
        <w:t xml:space="preserve">Abgeordnete - im Kapitel 01 010, gegenseitig deckungsfähig. Die nach Satz</w:t>
      </w:r>
    </w:p>
    <w:p>
      <w:r>
        <w:t xml:space="preserve">1 im jeweiligen Einzelplan gegenseitig deckungsfähigen Personalausgaben</w:t>
      </w:r>
    </w:p>
    <w:p>
      <w:r>
        <w:t xml:space="preserve">sind so zu bewirtschaften, dass eine Überschreitung der Ausgaben der</w:t>
      </w:r>
    </w:p>
    <w:p>
      <w:r>
        <w:t xml:space="preserve">Hauptgruppe 4 ausgeschlossen ist. Das Nähere regelt das Ministerium der</w:t>
      </w:r>
    </w:p>
    <w:p>
      <w:r>
        <w:t xml:space="preserve">Finanzen.</w:t>
      </w:r>
    </w:p>
    <w:p>
      <w:r>
        <w:t xml:space="preserve">(2) Zur Sicherung der Einhaltung der Ansätze für</w:t>
      </w:r>
    </w:p>
    <w:p>
      <w:r>
        <w:t xml:space="preserve">Personalausgaben sind im Haushaltsjahr 2000 bei der Landesverwaltung insgesamt</w:t>
      </w:r>
    </w:p>
    <w:p>
      <w:r>
        <w:t xml:space="preserve">mindestens 1 157 Stellen oder Planstellen einzusparen, darunter 809 Stellen in</w:t>
      </w:r>
    </w:p>
    <w:p>
      <w:r>
        <w:t xml:space="preserve">den Schulkapiteln. Im Jahr 2001 sind in der Landesverwaltung (ohne</w:t>
      </w:r>
    </w:p>
    <w:p>
      <w:r>
        <w:t xml:space="preserve">Schulkapitel) mindestens 692 Stellen einzusparen. Die Stellen in den Bereichen</w:t>
      </w:r>
    </w:p>
    <w:p>
      <w:r>
        <w:t xml:space="preserve">außerhalb der Schulkapitel sind auf die Einzelpläne (mit Ausnahme</w:t>
      </w:r>
    </w:p>
    <w:p>
      <w:r>
        <w:t xml:space="preserve">der Polizeikapitel 03 110 bis 03 150) in dem Verhältnis aufzuteilen, das</w:t>
      </w:r>
    </w:p>
    <w:p>
      <w:r>
        <w:t xml:space="preserve">dem Anteil des jeweiligen Einzelplans am Gesamtsoll der Planstellen und Stellen</w:t>
      </w:r>
    </w:p>
    <w:p>
      <w:r>
        <w:t xml:space="preserve">oder Beschäftigungspositionen im Landeshaushalt entspricht. Das</w:t>
      </w:r>
    </w:p>
    <w:p>
      <w:r>
        <w:t xml:space="preserve">Ministerium der Finanzen kann in begründeten Einzelfällen</w:t>
      </w:r>
    </w:p>
    <w:p>
      <w:r>
        <w:t xml:space="preserve">Abweichungen zulassen. Die genauen Einsparstellen sind für das</w:t>
      </w:r>
    </w:p>
    <w:p>
      <w:r>
        <w:t xml:space="preserve">Haushaltsjahr 2000 dem Ministerium der Finanzen bis zum 30. September 2000,</w:t>
      </w:r>
    </w:p>
    <w:p>
      <w:r>
        <w:t xml:space="preserve">für das Haushaltsjahr 2001 bis zum 30. Juni 2001 mitzuteilen.</w:t>
      </w:r>
    </w:p>
    <w:p>
      <w:r>
        <w:t xml:space="preserve">(3) Die Erläuterungen zu den Titeln der Gruppe 422</w:t>
      </w:r>
    </w:p>
    <w:p>
      <w:r>
        <w:t xml:space="preserve">für Stellen der Beamten auf Probe bis zur Anstellung und zu den Titeln der</w:t>
      </w:r>
    </w:p>
    <w:p>
      <w:r>
        <w:t xml:space="preserve">Gruppen 425 und 426 sind hinsichtlich der zulässigen Zahl der für die</w:t>
      </w:r>
    </w:p>
    <w:p>
      <w:r>
        <w:t xml:space="preserve">einzelnen Besoldungs-, Vergütungs- und Lohngruppen ausgebrachten Stellen</w:t>
      </w:r>
    </w:p>
    <w:p>
      <w:r>
        <w:t xml:space="preserve">verbindlich.</w:t>
      </w:r>
    </w:p>
    <w:p>
      <w:r>
        <w:t xml:space="preserve">(4) Abweichend von § 49 der Landeshaushaltsordnung</w:t>
      </w:r>
    </w:p>
    <w:p>
      <w:r>
        <w:t xml:space="preserve">können auf Planstellen auch beamtete Hilfskräfte, Angestellte,</w:t>
      </w:r>
    </w:p>
    <w:p>
      <w:r>
        <w:t xml:space="preserve">Arbeiter und auf Stellen für Angestellte auch Arbeiter geführt</w:t>
      </w:r>
    </w:p>
    <w:p>
      <w:r>
        <w:t xml:space="preserve">werden.</w:t>
      </w:r>
    </w:p>
    <w:p>
      <w:r>
        <w:t xml:space="preserve">(5) Einnahmen aus Zuschüssen für die berufliche</w:t>
      </w:r>
    </w:p>
    <w:p>
      <w:r>
        <w:t xml:space="preserve">Eingliederung Behinderter und für Arbeitsbeschaffungsmaßnahmen</w:t>
      </w:r>
    </w:p>
    <w:p>
      <w:r>
        <w:t xml:space="preserve">fließen den entsprechenden Ansätzen für Personalausgaben zu.</w:t>
      </w:r>
    </w:p>
    <w:p>
      <w:r>
        <w:t xml:space="preserve">(6) Die Inanspruchnahme von Planstellen der Besoldungsgruppe</w:t>
      </w:r>
    </w:p>
    <w:p>
      <w:r>
        <w:t xml:space="preserve">A 16, der Besoldungsordnung B, der Besoldungsgruppe R 2 und höher</w:t>
      </w:r>
    </w:p>
    <w:p>
      <w:r>
        <w:t xml:space="preserve">sowie der Besoldungsgruppe C 4 und von vergleichbaren Stellen für</w:t>
      </w:r>
    </w:p>
    <w:p>
      <w:r>
        <w:t xml:space="preserve">Angestellte bedarf der Einwilligung der Landesregierung. Dies gilt nicht</w:t>
      </w:r>
    </w:p>
    <w:p>
      <w:r>
        <w:t xml:space="preserve">für die Stellen des Landtages, des Landesverfassungsgerichts und des</w:t>
      </w:r>
    </w:p>
    <w:p>
      <w:r>
        <w:t xml:space="preserve">Landesrechnungshofes.</w:t>
      </w:r>
    </w:p>
    <w:p>
      <w:r>
        <w:t xml:space="preserve">(7) Planstellen und Stellen können für</w:t>
      </w:r>
    </w:p>
    <w:p>
      <w:r>
        <w:t xml:space="preserve">Zeiträume, in denen Stelleninhaber vorübergehend nicht oder nicht</w:t>
      </w:r>
    </w:p>
    <w:p>
      <w:r>
        <w:t xml:space="preserve">vollbeschäftigt sind, innerhalb des jeweiligen Einzelplans im Umfang der</w:t>
      </w:r>
    </w:p>
    <w:p>
      <w:r>
        <w:t xml:space="preserve">nicht in Anspruch genommenen Planstellen- oder Stellenanteile für die</w:t>
      </w:r>
    </w:p>
    <w:p>
      <w:r>
        <w:t xml:space="preserve">Beschäftigung von beamteten Hilfskräften und Kräften in zeitlich</w:t>
      </w:r>
    </w:p>
    <w:p>
      <w:r>
        <w:t xml:space="preserve">befristeten Arbeitsverträgen in Anspruch genommen werden.</w:t>
      </w:r>
    </w:p>
    <w:p>
      <w:r>
        <w:t xml:space="preserve">(8) Das Ministerium der Finanzen wird ermächtigt,</w:t>
      </w:r>
    </w:p>
    <w:p>
      <w:r>
        <w:t xml:space="preserve">Planstellen für Lehrkräfte zur Besetzung mit Beamten, für die</w:t>
      </w:r>
    </w:p>
    <w:p>
      <w:r>
        <w:t xml:space="preserve">die Einstufung nach den Brandenburgischen Besoldungsordnungen nicht gilt, nach</w:t>
      </w:r>
    </w:p>
    <w:p>
      <w:r>
        <w:t xml:space="preserve">Maßgabe des Bundesbesoldungsgesetzes zu heben.</w:t>
      </w:r>
    </w:p>
    <w:p>
      <w:r>
        <w:t xml:space="preserve">(9) Absatz 6 gilt entsprechend für landesunmittelbare</w:t>
      </w:r>
    </w:p>
    <w:p>
      <w:r>
        <w:t xml:space="preserve">juristische Personen des öffentlichen Rechts mit Ausnahme der</w:t>
      </w:r>
    </w:p>
    <w:p>
      <w:r>
        <w:t xml:space="preserve">Investitionsbank des Landes Brandenburg.</w:t>
      </w:r>
    </w:p>
    <w:p>
      <w:r>
        <w:t xml:space="preserve">(10) Das Ministerium für Bildung, Jugend und Sport wird</w:t>
      </w:r>
    </w:p>
    <w:p>
      <w:r>
        <w:t xml:space="preserve">ermächtigt, im Rahmen der Umsetzung der Altersteilzeitregelung für</w:t>
      </w:r>
    </w:p>
    <w:p>
      <w:r>
        <w:t xml:space="preserve">den Schulbereich in entsprechender Anwendung des § 50 der</w:t>
      </w:r>
    </w:p>
    <w:p>
      <w:r>
        <w:t xml:space="preserve">Landeshaushaltsordnung zum Zeitpunkt des Eintritts in die Altersteilzeit</w:t>
      </w:r>
    </w:p>
    <w:p>
      <w:r>
        <w:t xml:space="preserve">verbleibende Personalausgaben der betroffenen Arbeitnehmer in die</w:t>
      </w:r>
    </w:p>
    <w:p>
      <w:r>
        <w:t xml:space="preserve">entsprechenden Titel des Kapitels 05 301 umzusetzen. Das Nähere regelt das</w:t>
      </w:r>
    </w:p>
    <w:p>
      <w:r>
        <w:t xml:space="preserve">Ministerium der Finanzen.</w:t>
      </w:r>
    </w:p>
    <w:p>
      <w:r>
        <w:rPr>
          <w:color w:val="555555"/>
          <w:sz w:val="17"/>
        </w:rPr>
        <w:t xml:space="preserve">Zitiervorschlag: § 11 HG 2000/2001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https://recht.nulegal.eu/gesetze/bb-id211816/11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