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HzG (Brandenburg) — Landesflagge</w:t>
      </w:r>
    </w:p>
    <w:p>
      <w:r>
        <w:rPr>
          <w:color w:val="555555"/>
          <w:sz w:val="18"/>
        </w:rPr>
        <w:t xml:space="preserve">Hoheitszeichen-Gesetz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Landesflagge besteht aus zwei gleich breiten Querstreifen in den Landesfarben - oben rot, unten weiß - und trägt in der Mitte das Landeswappen. Das Verhältnis der Höhe zur Länge des Fahnentuchs ist wie drei zu fünf (Anlage 2).</w:t>
      </w:r>
    </w:p>
    <w:p>
      <w:r>
        <w:rPr>
          <w:color w:val="555555"/>
          <w:sz w:val="17"/>
        </w:rPr>
        <w:t xml:space="preserve">Zitiervorschlag: § 3 HzG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https://recht.nulegal.eu/gesetze/bb-hzg--1991/3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HzG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