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2023/2024 (Brandenburg) — Inkrafttreten</w:t>
      </w:r>
    </w:p>
    <w:p>
      <w:r>
        <w:rPr>
          <w:color w:val="555555"/>
          <w:sz w:val="18"/>
        </w:rPr>
        <w:t xml:space="preserve">Haushaltsgesetz 2023/2024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1. Januar 2023 in Kraft.</w:t>
      </w:r>
    </w:p>
    <w:p>
      <w:r>
        <w:t xml:space="preserve">Potsdam, den 16. Dezember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21 HG 2023/2024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https://recht.nulegal.eu/gesetze/bb-hg_2023_2024/21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