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HG 2017/2018 (Brandenburg) — Vergabe leistungsbezogener Besoldungselemente an Beamtinnen und Beamte</w:t>
      </w:r>
    </w:p>
    <w:p>
      <w:r>
        <w:rPr>
          <w:color w:val="555555"/>
          <w:sz w:val="18"/>
        </w:rPr>
        <w:t xml:space="preserve">Haushaltsgesetz 2017/2018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Vergabe von Leistungsstufen ist die Brandenburgische Leistungsstufenverordnung sowie für die Vergabe von Leistungsprämien und Leistungszulagen die Brandenburgische Leistungsprämien- und -zulagenverordnung anzuwenden.</w:t>
      </w:r>
    </w:p>
    <w:p>
      <w:r>
        <w:t xml:space="preserve">(2) Die für die Vergabe leistungsbezogener Besoldungselemente anfallenden Ausgaben sind aus Einsparungen bei anderen Titeln der Hauptgruppe 4 im jeweiligen Einzelplan (ausgenommen Gruppen 432 und 453) oder durch Entnahmen aus der Rücklage Personalbudget zu decken.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15 HG 2017/2018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https://recht.nulegal.eu/gesetze/bb-hg_2017_2018/15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