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HG 2015/2016 (Brandenburg) — Weitergeltung von Vorschriften und Ermächtigungen</w:t>
      </w:r>
    </w:p>
    <w:p>
      <w:r>
        <w:rPr>
          <w:color w:val="555555"/>
          <w:sz w:val="18"/>
        </w:rPr>
        <w:t xml:space="preserve">Haushaltsgesetz 2015/2016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Vorschriften und Ermächtigungen in den §§ 3, 4, 5, 6, 8 Absatz 1 und 2, §§ 11 bis 15 und 17 gelten bis zur Verkündung des Haushaltsgesetzes 2017 weiter.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19 HG 2015/2016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https://recht.nulegal.eu/gesetze/bb-hg_2015_2016/19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