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GlüStV 2021 (Brandenburg)</w:t>
      </w:r>
    </w:p>
    <w:p>
      <w:r>
        <w:rPr>
          <w:color w:val="555555"/>
          <w:sz w:val="18"/>
        </w:rPr>
        <w:t xml:space="preserve">Glücksspielstaatsvertrag 2021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Staatsvertrag tritt nach seinem § 35 Absatz 1 Satz 1 am 1. Juli 2021 in Kraft. Sollte der Staatsvertrag nach seinem § 35 Absatz 1 Satz 2 oder Satz 3 gegenstandslos werden, ist dies unverzüglich im Gesetz- und Verordnungsblatt für das Land Brandenburg Teil I bekannt zu geben.</w:t>
      </w:r>
    </w:p>
    <w:p>
      <w:r>
        <w:t xml:space="preserve">Einzelnorm</w:t>
      </w:r>
    </w:p>
    <w:p>
      <w:r>
        <w:t xml:space="preserve">Potsdam, den 9. Februar 2021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Dr. Ulrike Liedtke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GlüStV 2021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https://recht.nulegal.eu/gesetze/bb-gluestv2021--2021/2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