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GKL-StV (Brandenburg)</w:t>
      </w:r>
    </w:p>
    <w:p>
      <w:r>
        <w:rPr>
          <w:color w:val="555555"/>
          <w:sz w:val="18"/>
        </w:rPr>
        <w:t xml:space="preserve">Gesetz zu dem Staatsvertrag über die Gründung der GKL Gemeinsame Klassenlotterie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Vertrag nach seinem § 20 in Kraft tritt, ist im Gesetz- und Verordnungsblatt für das Land Brandenburg Teil I bekannt zu geben.</w:t>
      </w:r>
    </w:p>
    <w:p>
      <w:r>
        <w:t xml:space="preserve">Potsdam, den 21. Juni 2012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GKL-StV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https://recht.nulegal.eu/gesetze/bb-gkl_stv--2012/2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