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BbgBO (Brandenburg) — Örtliche Bauvorschriften</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Die Gemeinden können örtliche Bauvorschriften erlassen über</w:t>
      </w:r>
    </w:p>
    <w:p>
      <w:r>
        <w:t xml:space="preserve">besondere Anforderungen an die äußere Gestaltung baulicher Anlagen und anderer Anlagen und Einrichtungen sowie die Notwendigkeit oder das Verbot von Einfriedungen,</w:t>
      </w:r>
    </w:p>
    <w:p>
      <w:r>
        <w:t xml:space="preserve">besondere Anforderungen an die Art, die Größe, die Gestaltung, die Farbe und den Anbringungsort von Werbeanlagen,</w:t>
      </w:r>
    </w:p>
    <w:p>
      <w:r>
        <w:t xml:space="preserve">den Ausschluss von Werbeanlagen an bestimmten baulichen Anlagen,</w:t>
      </w:r>
    </w:p>
    <w:p>
      <w:r>
        <w:t xml:space="preserve">eine besondere Erlaubnispflicht für Werbeanlagen, die ohne Baugenehmigung errichtet werden dürfen, soweit für diese Werbeanlagen besondere Anforderungen nach Nummer 2 bestehen.</w:t>
      </w:r>
    </w:p>
    <w:p>
      <w:r>
        <w:t xml:space="preserve">Die Gemeinde kann die örtlichen Bauvorschriften nach Satz 1 Nr. 1 und 2 erlassen, soweit dies zur Verwirklichung baugestalterischer und städtebaulicher Absichten oder zum Schutz bestimmter Bauten, Straßen, Plätze oder Ortsteile von geschichtlicher, künstlerischer oder städtebaulicher Bedeutung sowie von Baudenkmälern und Naturdenkmälern erforderlich ist.</w:t>
      </w:r>
    </w:p>
    <w:p>
      <w:r>
        <w:t xml:space="preserve">(2) Die Gemeinde kann durch örtliche Bauvorschriften andere als die nach § 6 Abs. 5 vorgeschriebenen Abstandsflächen festsetzen. Die Festsetzungen über die überbaubaren Grundstücksflächen und die Höhe der baulichen Anlagen müssen so bestimmt sein, dass die nach § 6 zu berücksichtigenden nachbarlichen Belange abgewogen werden können. Eine geringere Tiefe der Abstandsflächen darf insbesondere zur Wahrung der erhaltenswerten Eigenart und zur städtebaulichen Gestaltung eines bestimmten Ortsteiles festgesetzt werden.</w:t>
      </w:r>
    </w:p>
    <w:p>
      <w:r>
        <w:t xml:space="preserve">(3) Die Gemeinde kann örtliche Bauvorschriften über Kinderspielplätze erlassen. Sie kann dabei</w:t>
      </w:r>
    </w:p>
    <w:p>
      <w:r>
        <w:t xml:space="preserve">die Größe, Art und Ausstattung der Kinderspielplätze nach Art und Maß der Nutzung festsetzen,</w:t>
      </w:r>
    </w:p>
    <w:p>
      <w:r>
        <w:t xml:space="preserve">die Anforderungen für die sichere Benutzbarkeit der Kinderspielplätze festsetzen,</w:t>
      </w:r>
    </w:p>
    <w:p>
      <w:r>
        <w:t xml:space="preserve">die nachträgliche Anlage eines Kinderspielplatzes festsetzen, wenn dies die Gesundheit und der Schutz der Kinder erfordern.</w:t>
      </w:r>
    </w:p>
    <w:p>
      <w:r>
        <w:t xml:space="preserve">(4) Die Gemeinde kann örtliche Bauvorschriften über notwendige Stellplätze erlassen. Sie kann dabei</w:t>
      </w:r>
    </w:p>
    <w:p>
      <w:r>
        <w:t xml:space="preserve">die Zahl der erforderlichen notwendigen Stellplätze nach Art und Maß der Nutzung unter Berücksichtigung der verkehrlichen, wirtschaftspolitischen oder städtebaulichen Gründe unterschiedlich festsetzen,</w:t>
      </w:r>
    </w:p>
    <w:p>
      <w:r>
        <w:t xml:space="preserve">die Herstellung von Stellplätzen und Garagen für Kraftfahrzeuge untersagen oder einschränken, wenn verkehrliche, wirtschaftspolitische oder städtebauliche Gründe dies rechtfertigen und Stellplätze für die allgemeine Benutzung in ausreichender Zahl zur Verfügung stehen,</w:t>
      </w:r>
    </w:p>
    <w:p>
      <w:r>
        <w:t xml:space="preserve">die Geldbeträge für die Ablösung notwendiger Stellplätze bestimmen.</w:t>
      </w:r>
    </w:p>
    <w:p>
      <w:r>
        <w:t xml:space="preserve">Die Ermächtigung des Satzes 2 Nr. 2 und 3 erstreckt sich nicht auf die nach § 45 Abs. 5 notwendigen Stellplätze.</w:t>
      </w:r>
    </w:p>
    <w:p>
      <w:r>
        <w:t xml:space="preserve">(5) Die Gemeinde kann örtliche Bauvorschriften über notwendige Fahrradabstellplätze erlassen. Sie kann dabei</w:t>
      </w:r>
    </w:p>
    <w:p>
      <w:r>
        <w:t xml:space="preserve">die Zahl der erforderlichen Fahrradabstellplätze nach Art und Maß der Nutzung festsetzen,</w:t>
      </w:r>
    </w:p>
    <w:p>
      <w:r>
        <w:t xml:space="preserve">die Größe, die Lage und die Ausstattung dieser Abstellplätze festlegen.</w:t>
      </w:r>
    </w:p>
    <w:p>
      <w:r>
        <w:t xml:space="preserve">(6) Die Gemeinde kann durch örtliche Bauvorschriften die Art, die Gestaltung und die Bauausführung der für die Errichtung und den Betrieb baulicher Anlagen erforderlichen Erschließungsanlagen bestimmen sowie nach anderen landesrechtlichen Vorschriften zulässige Festsetzungen über die Errichtung und den Betrieb baulicher Anlagen in gemeindlichen Satzungen auch in örtlichen Bauvorschriften festsetzen.</w:t>
      </w:r>
    </w:p>
    <w:p>
      <w:r>
        <w:t xml:space="preserve">(7) Die Gemeinde kann durch örtliche Bauvorschriften für vor dem 1. Januar 2009 fertig gestellte Gebäude die anteilige Nutzung von Erneuerbaren Energien festsetzen, wenn die erforderlichen Maßnahmen technisch und rechtlich möglich, wirtschaftlich zumutbar und verhältnismäßig sind, zu einer Verminderung des Energiebedarfs beitragen und die Aufwendungen durch die eintretenden Einsparungen innerhalb angemessener Fristen erwirtschaftet werden können. Die Gemeinde kann dabei insbesondere</w:t>
      </w:r>
    </w:p>
    <w:p>
      <w:r>
        <w:t xml:space="preserve">Mindestflächen für Sonnenkollektoren und Fotovoltaikanlagen festsetzen,</w:t>
      </w:r>
    </w:p>
    <w:p>
      <w:r>
        <w:t xml:space="preserve">die Nutzungspflicht abhängig machen von</w:t>
      </w:r>
    </w:p>
    <w:p>
      <w:r>
        <w:t xml:space="preserve">Änderungen am Gebäude, wie der vollständigen oder teilweisen Erneuerung der Dacheindeckung, der Dächer oder der Fassaden,</w:t>
      </w:r>
    </w:p>
    <w:p>
      <w:r>
        <w:t xml:space="preserve">dem Austausch von Heizkesseln oder Anlagen zur Wärmeerzeugung.</w:t>
      </w:r>
    </w:p>
    <w:p>
      <w:r>
        <w:t xml:space="preserve">Für diese örtlichen Bauvorschriften gelten die §§ 2, 4 und 6 bis 11 sowie die Anlage (zu §§ 5 und 7) des Erneuerbare-Energien-Wärmegesetzes entsprechend.</w:t>
      </w:r>
    </w:p>
    <w:p>
      <w:r>
        <w:t xml:space="preserve">(8) Die Gemeinde kann, soweit die Voraussetzungen des § 15 Abs. 1 Satz 2 des Baugesetzbuchs vorliegen, durch örtliche Bauvorschrift bestimmen, welche der nach § 55 genehmigungsfreien Vorhaben spätestens einen Monat vor Durchführung des Vorhabens der Gemeinde anzuzeigen sind.</w:t>
      </w:r>
    </w:p>
    <w:p>
      <w:r>
        <w:t xml:space="preserve">(9) Die Gemeinde erlässt die örtlichen Bauvorschriften als Satzung für das Gemeindegebiet oder Teile des Gemeindegebietes. Für den Außenbereich dürfen örtliche Bauvorschriften nach Absatz 1 Satz 1 Nr. 2 nicht erlassen werden. Vor dem Erlass der Satzung ist den betroffenen Bürgern und den berührten Trägern öffentlicher Belange Gelegenheit zur Stellungnahme innerhalb einer Frist von einem Monat zu geben. Die Satzung ist der Sonderaufsichtsbehörde anzuzeigen. Die Gemeinde darf die Satzung bekannt machen, wenn die Sonderaufsichtsbehörde die Satzung nicht innerhalb von drei Monaten beanstandet hat.</w:t>
      </w:r>
    </w:p>
    <w:p>
      <w:r>
        <w:t xml:space="preserve">(10) Örtliche Bauvorschriften nach den Absätzen 1 bis 6 können auch in</w:t>
      </w:r>
    </w:p>
    <w:p>
      <w:r>
        <w:t xml:space="preserve">einen Bebauungsplan nach § 30 Abs. 1 bis 3 des Baugesetzbuchs oder</w:t>
      </w:r>
    </w:p>
    <w:p>
      <w:r>
        <w:t xml:space="preserve">eine Satzung nach § 34 Abs. 4 Satz 1 Nr. 2 und 3 des Baugesetzbuchs</w:t>
      </w:r>
    </w:p>
    <w:p>
      <w:r>
        <w:t xml:space="preserve">als Festsetzungen aufgenommen werden. Für diese Festsetzungen sind die Verfahrensvorschriften des Baugesetzbuchs entsprechend anzuwenden.</w:t>
      </w:r>
    </w:p>
    <w:p>
      <w:r>
        <w:t xml:space="preserve">(11) Festsetzungen in örtlichen Bauvorschriften können auch in Form zeichnerischer Darstellungen erfolgen. Ihre Bekanntgabe kann dadurch ersetzt werden, dass dieser Teil der örtlichen Bauvorschriften bei der Gemeinde zur Einsicht ausgelegt wird; hierauf ist in den örtlichen Bauvorschriften hinzuweisen.</w:t>
      </w:r>
    </w:p>
    <w:p>
      <w:r>
        <w:rPr>
          <w:color w:val="555555"/>
          <w:sz w:val="17"/>
        </w:rPr>
        <w:t xml:space="preserve">Zitiervorschlag: § 81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https://recht.nulegal.eu/gesetze/bb-bbgbo--2008/81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