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BbgBO (Brandenburg) — Ordnungswidrigkeiten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08.09.2026. Dies ist nicht die aktuelle Fassung.</w:t>
      </w:r>
    </w:p>
    <w:p>
      <w:r>
        <w:t xml:space="preserve">(1) Ordnungswidrig handelt, wer vorsätzlich oder fahrlässig</w:t>
      </w:r>
    </w:p>
    <w:p>
      <w:r>
        <w:t xml:space="preserve">ohne die nach § 54 erforderliche Baugenehmigung oder ohne die nach § 68 Abs. 1 erforderlichen Genehmigungen, Prüfzeugnisse oder Bescheinigungen bauliche Anlagen errichtet, ändert oder in ihrer Nutzung ändert,</w:t>
      </w:r>
    </w:p>
    <w:p>
      <w:r>
        <w:t xml:space="preserve">unter Nichtbeachtung der Fristen nach § 58 Abs. 3 anzeigepflichtige bauliche Anlagen errichtet, ändert oder in ihrer Nutzung ändert,</w:t>
      </w:r>
    </w:p>
    <w:p>
      <w:r>
        <w:t xml:space="preserve">abweichend von den genehmigten oder mit der Bauanzeige vorgelegten Bauvorlagen bauliche Anlagen errichtet oder ändert,</w:t>
      </w:r>
    </w:p>
    <w:p>
      <w:r>
        <w:t xml:space="preserve">abweichend von einer Baugenehmigung, Abweichungsentscheidung oder Befreiung die erteilten Nebenbestimmungen nicht oder nicht rechtzeitig erfüllt,</w:t>
      </w:r>
    </w:p>
    <w:p>
      <w:r>
        <w:t xml:space="preserve">bei der Einrichtung oder dem Betrieb einer Baustelle entgegen § 10 Abs. 1 Gefährdungen oder vermeidbare Belästigungen herbeiführt oder entgegen § 10 Abs. 2 erforderliche Schutzmaßnahmen unterlässt,</w:t>
      </w:r>
    </w:p>
    <w:p>
      <w:r>
        <w:t xml:space="preserve">entgegen § 14 Bauprodukte, die nicht in den Verkehr gebracht werden dürfen, verwendet oder entgegen § 18 Bauarten ohne die erforderliche allgemeine bauaufsichtliche Zulassung oder Zustimmung im Einzelfall anwendet,</w:t>
      </w:r>
    </w:p>
    <w:p>
      <w:r>
        <w:t xml:space="preserve">entgegen § 19 Abs. 4 Bauprodukte mit dem Ü-Zeichen kennzeichnet, ohne dass die Voraussetzungen zur Abgabe einer Übereinstimmungserklärung (§ 20) vorliegen oder ohne dass ein Übereinstimmungszertifikat (§ 21) erteilt ist,</w:t>
      </w:r>
    </w:p>
    <w:p>
      <w:r>
        <w:t xml:space="preserve">entgegen § 36 Abs. 6 Feuerungsanlagen oder ortsfeste Anlagen zur Wärmeerzeugung durch Verbrennung in Betrieb nimmt,</w:t>
      </w:r>
    </w:p>
    <w:p>
      <w:r>
        <w:t xml:space="preserve">eine bauliche Anlage errichtet oder ändert, ohne dass die nach § 68 Abs. 4 erforderlichen Unterlagen auf der Baustelle vorliegen,</w:t>
      </w:r>
    </w:p>
    <w:p>
      <w:r>
        <w:t xml:space="preserve">Fliegende Bauten ohne Ausführungsgenehmigung (§ 71 Abs. 2) oder ohne Anzeige und Abnahme (§ 71 Abs. 6) in Gebrauch nimmt,</w:t>
      </w:r>
    </w:p>
    <w:p>
      <w:r>
        <w:t xml:space="preserve">entgegen § 76 Abs. 2 bauliche Anlagen benutzt.</w:t>
      </w:r>
    </w:p>
    <w:p>
      <w:r>
        <w:t xml:space="preserve">(2) Ordnungswidrig handelt, wer vorsätzlich oder fahrlässig</w:t>
      </w:r>
    </w:p>
    <w:p>
      <w:r>
        <w:t xml:space="preserve">als Bauherr oder als dessen Vertreter entgegen der Vorschrift des § 47 Abs. 1 keinen Objektplaner oder Unternehmer bestellt oder der Mitteilungspflicht aus § 47 Abs. 2 nicht nachkommt,</w:t>
      </w:r>
    </w:p>
    <w:p>
      <w:r>
        <w:t xml:space="preserve">als Bauherr oder als dessen Vertreter entgegen der Vorschrift des § 47 Abs. 1 die Bauüberwachung nicht durch einen nach § 49 geeigneten Objektplaner durchführen lässt,</w:t>
      </w:r>
    </w:p>
    <w:p>
      <w:r>
        <w:t xml:space="preserve">als Unternehmer oder als dessen Vertreter bei den übernommenen Arbeiten entgegen der Vorschrift des § 3 Abs. 4 Satz 1 die Technischen Baubestimmungen nicht beachtet oder der Vorschrift des § 50 Abs. 1 zuwiderhandelt,</w:t>
      </w:r>
    </w:p>
    <w:p>
      <w:r>
        <w:t xml:space="preserve">als Objektplaner oder als dessen Vertreter bei der Überwachung der Bauarbeiten der Vorschrift des § 49 zuwiderhandelt,</w:t>
      </w:r>
    </w:p>
    <w:p>
      <w:r>
        <w:t xml:space="preserve">als Objektplaner entgegen § 57 Abs. 2, § 58 Abs. 5 oder § 76 Abs. 1 Nr. 1 eine unrichtige Erklärung abgibt,</w:t>
      </w:r>
    </w:p>
    <w:p>
      <w:r>
        <w:t xml:space="preserve">als Prüfingenieur entgegen § 66 Abs. 4 Satz 2 oder § 66 Abs. 5 Satz 2 einen unrichtigen Prüfbericht oder als Prüfsachverständiger entgegen § 66 Abs. 6 Satz 2 eine unrichtige Bescheinigung ausstellt,</w:t>
      </w:r>
    </w:p>
    <w:p>
      <w:r>
        <w:t xml:space="preserve">als Prüfingenieur entgegen § 76 Abs. 1 Nr. 2 oder als Prüfsachverständiger entgegen § 76 Abs. 1 Nr. 2 oder Nr. 4 eine unrichtige Bescheinigung ausstellt,</w:t>
      </w:r>
    </w:p>
    <w:p>
      <w:r>
        <w:t xml:space="preserve">als Vermessungsingenieur entgegen § 68 Abs. 3 eine unrichtige Einmessungsbescheinigung ausstellt.</w:t>
      </w:r>
    </w:p>
    <w:p>
      <w:r>
        <w:t xml:space="preserve">(3) Ordnungswidrig handelt, wer vorsätzlich oder fahrlässig</w:t>
      </w:r>
    </w:p>
    <w:p>
      <w:r>
        <w:t xml:space="preserve">einer nach § 80 erlassenen Rechtsverordnung zuwiderhandelt, sofern die Rechtsverordnung für einen bestimmten Tatbestand auf diese Bußgeldvorschrift verweist,</w:t>
      </w:r>
    </w:p>
    <w:p>
      <w:r>
        <w:t xml:space="preserve">einer nach § 81 erlassenen Satzung zuwiderhandelt, sofern die Satzung für einen bestimmten Tatbestand auf diese Bußgeldvorschrift verweist,</w:t>
      </w:r>
    </w:p>
    <w:p>
      <w:r>
        <w:t xml:space="preserve">einer vollziehbaren schriftlichen Anordnung zuwiderhandelt, die aufgrund dieses Gesetzes oder aufgrund einer nach diesem Gesetz zulässigen Rechtsverordnung oder Satzung erlassen worden ist, sofern die Anordnung auf diese Bußgeldvorschrift verweist.</w:t>
      </w:r>
    </w:p>
    <w:p>
      <w:r>
        <w:t xml:space="preserve">(4) Ordnungswidrig handelt, wer vorsätzlich oder grob fahrlässig unrichtige Angaben macht oder unrichtige Pläne oder Unterlagen vorlegt, um einen nach diesem Gesetz vorgesehenen Verwaltungsakt zu erwirken oder zu verhindern.</w:t>
      </w:r>
    </w:p>
    <w:p>
      <w:r>
        <w:t xml:space="preserve">(5) Die Ordnungswidrigkeit kann mit einer Geldbuße bis zu 500 000 Euro, im Fall des Absatzes 3 Nr. 2 mit einer Geldbuße bis zu 10 000 Euro geahndet werden.</w:t>
      </w:r>
    </w:p>
    <w:p>
      <w:r>
        <w:t xml:space="preserve">(6) Verwaltungsbehörde im Sinne des § 36 Abs. 1 Nr. 1 des Gesetzes über Ordnungswidrigkeiten ist die untere Bauaufsichtsbehörde. Ist die amtsfreie Gemeinde oder das Amt nach § 53 als Sonderordnungsbehörde zuständig, so ist diese Verwaltungsbehörde im Sinne des § 36 Abs. 1 Nr. 1 des Gesetzes über Ordnungswidrigkeiten.</w:t>
      </w:r>
    </w:p>
    <w:p>
      <w:r>
        <w:t xml:space="preserve">Teil 7</w:t>
      </w:r>
    </w:p>
    <w:p>
      <w:r>
        <w:t xml:space="preserve">Rechtsverordnungen, örtliche Bauvorschriften, Datenschutz, Schlussvorschriften</w:t>
      </w:r>
    </w:p>
    <w:p>
      <w:r>
        <w:rPr>
          <w:color w:val="555555"/>
          <w:sz w:val="17"/>
        </w:rPr>
        <w:t xml:space="preserve">Zitiervorschlag: § 79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