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BbgBO (Brandenburg) — Anpassung bestehender baulicher Anlagen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Wenn es zur Abwehr von erheblichen Gefahren für Leben oder Gesundheit erforderlich ist, können die Bauaufsichtsbehörden die Vorschriften dieses Gesetzes oder die aufgrund dieses Gesetzes erlassenen Vorschriften auch auf bestehende bauliche Anlagen und andere Anlagen und Einrichtungen anwenden.</w:t>
      </w:r>
    </w:p>
    <w:p>
      <w:r>
        <w:t xml:space="preserve">(2) Sollen bauliche Anlagen wesentlich geändert werden, so kann gefordert werden, dass auch die nicht unmittelbar berührten Teile der baulichen Anlage mit diesem Gesetz oder den aufgrund dieses Gesetzes erlassenen Vorschriften in Einklang gebracht werden, wenn</w:t>
      </w:r>
    </w:p>
    <w:p>
      <w:r>
        <w:t xml:space="preserve">die Bauteile, die diesen Vorschriften nicht mehr entsprechen, mit den beabsichtigten Arbeiten in einem konstruktiven Zusammenhang stehen und</w:t>
      </w:r>
    </w:p>
    <w:p>
      <w:r>
        <w:t xml:space="preserve">die Durchführung dieser Vorschriften bei den von den Arbeiten nicht berührten Teilen der baulichen Anlage keine unzumutbaren Mehrkosten verursacht.</w:t>
      </w:r>
    </w:p>
    <w:p>
      <w:r>
        <w:rPr>
          <w:color w:val="555555"/>
          <w:sz w:val="17"/>
        </w:rPr>
        <w:t xml:space="preserve">Zitiervorschlag: § 78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