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BbgBO (Brandenburg) — Verbot unrechtmäßig gekennzeichneter Bauprodukte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08.09.2026. Dies ist nicht die aktuelle Fassung.</w:t>
      </w:r>
    </w:p>
    <w:p>
      <w:r>
        <w:t xml:space="preserve">(1) Sind Bauprodukte entgegen § 19 mit dem Ü-Zeichen gekennzeichnet, so kann die Bauaufsichtsbehörde die Verwendung dieser Bauprodukte untersagen und deren Kennzeichnung entwerten oder beseitigen lassen.</w:t>
      </w:r>
    </w:p>
    <w:p>
      <w:r>
        <w:t xml:space="preserve">(2) Sind Bauprodukte unberechtigt mit der CE-Kennzeichnung gekennzeichnet oder liegt ein anderer in § 13 Abs. 1 des Bauproduktengesetzes genannter Fall vor, kann die Bauaufsichtsbehörde die dort genannten Maßnahmen treffen.</w:t>
      </w:r>
    </w:p>
    <w:p>
      <w:r>
        <w:rPr>
          <w:color w:val="555555"/>
          <w:sz w:val="17"/>
        </w:rPr>
        <w:t xml:space="preserve">Zitiervorschlag: § 77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https://recht.nulegal.eu/gesetze/bb-bbgbo--2008/77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