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BbgBO (Brandenburg) — Geltungsdauer der Genehmigung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26.07.2026 bis 30.07.2026. Dies ist nicht die aktuelle Fassung.</w:t>
      </w:r>
    </w:p>
    <w:p>
      <w:r>
        <w:t xml:space="preserve">Die Geltungsdauer der Baugenehmigung und des Vorbescheides beträgt sechs Jahre. Die Baugenehmigung erlischt nicht, wenn das Vorhaben innerhalb der Frist nach Satz 1 begonnen worden und spätestens ein Jahr nach Ablauf der Frist fertig gestellt ist.</w:t>
      </w:r>
    </w:p>
    <w:p>
      <w:r>
        <w:rPr>
          <w:color w:val="555555"/>
          <w:sz w:val="17"/>
        </w:rPr>
        <w:t xml:space="preserve">Zitiervorschlag: § 69 BbgBO (Brandenburg)</w:t>
      </w:r>
    </w:p>
    <w:p>
      <w:r>
        <w:rPr>
          <w:color w:val="555555"/>
          <w:sz w:val="17"/>
        </w:rPr>
        <w:t xml:space="preserve">Quelle: BRAVORS, abgerufen 26.07.2026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