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BbgBO (Brandenburg) — Abweichungen von örtlichen Bauvorschriften, sonderordnungsbehördliches Erlaubnisverfahren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23.08.2026. Dies ist nicht die aktuelle Fassung.</w:t>
      </w:r>
    </w:p>
    <w:p>
      <w:r>
        <w:t xml:space="preserve">(1) Bei Vorhaben, die nach § 55 keiner Genehmigung bedürfen, entscheidet die amtsfreie Gemeinde oder das Amt als Sonderordnungsbehörde über die Zulassung von Abweichungen von örtlichen Bauvorschriften und über die Zulassung von Ausnahmen oder Befreiungen nach § 31 des Baugesetzbuchs in einem Erlaubnisverfahren.</w:t>
      </w:r>
    </w:p>
    <w:p>
      <w:r>
        <w:t xml:space="preserve">(2) Ist die Errichtung von Werbeanlagen, die nach § 55 keiner Genehmigung bedürfen, durch örtliche Bauvorschrift einer sonderbehördlichen Erlaubnispflicht unterworfen, entscheidet die amtsfreie Gemeinde oder das Amt als Sonderordnungsbehörde.</w:t>
      </w:r>
    </w:p>
    <w:p>
      <w:r>
        <w:t xml:space="preserve">(3) Die Erlaubnis ist schriftlich bei der amtsfreien Gemeinde oder dem Amt zu beantragen. Im Übrigen gelten § 60 Abs. 1 Satz 1 und die Verfahrensvorschriften dieses Gesetzes entsprechend.</w:t>
      </w:r>
    </w:p>
    <w:p>
      <w:r>
        <w:rPr>
          <w:color w:val="555555"/>
          <w:sz w:val="17"/>
        </w:rPr>
        <w:t xml:space="preserve">Zitiervorschlag: § 61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