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BbgBO (Brandenburg) — Zulassung von Abweichungen</w:t>
      </w:r>
    </w:p>
    <w:p>
      <w:r>
        <w:rPr>
          <w:color w:val="555555"/>
          <w:sz w:val="18"/>
        </w:rPr>
        <w:t xml:space="preserve">Brandenburgische Bauordnung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Historische Fassung: Stand 23.08.2026 bis 10.09.2026. Dies ist nicht die aktuelle Fassung.</w:t>
      </w:r>
    </w:p>
    <w:p>
      <w:r>
        <w:t xml:space="preserve">(1) Die Bauaufsichtsbehörde kann auf Antrag Abweichungen von Anforderungen dieses Gesetzes und aufgrund dieses Gesetzes erlassener Vorschriften zulassen, wenn die Abweichungen</w:t>
      </w:r>
    </w:p>
    <w:p>
      <w:r>
        <w:t xml:space="preserve">dem Schutzziel der jeweiligen Anforderung entsprechen,</w:t>
      </w:r>
    </w:p>
    <w:p>
      <w:r>
        <w:t xml:space="preserve">unter Würdigung der öffentlich-rechtlich geschützten nachbarlichen Belange mit den öffentlichen Belangen, insbesondere den Anforderungen des § 3 Abs. 1, vereinbar sind.</w:t>
      </w:r>
    </w:p>
    <w:p>
      <w:r>
        <w:t xml:space="preserve">Satz 1 gilt entsprechend für die Teilung eines Grundstücks, das bebaut oder dessen Bebauung genehmigt ist.</w:t>
      </w:r>
    </w:p>
    <w:p>
      <w:r>
        <w:t xml:space="preserve">(2) Zu Abweichungen von örtlichen Bauvorschriften nach § 81 ist das Einvernehmen der Gemeinde erforderlich. § 36 Abs. 2 Satz 2 des Baugesetzbuchs gilt entsprechend.</w:t>
      </w:r>
    </w:p>
    <w:p>
      <w:r>
        <w:rPr>
          <w:color w:val="555555"/>
          <w:sz w:val="17"/>
        </w:rPr>
        <w:t xml:space="preserve">Zitiervorschlag: § 60 BbgBO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https://recht.nulegal.eu/gesetze/bb-bbgbo--2008/60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