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BbgBO (Brandenburg) — Vorbescheidsverfahren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08.09.2026. Dies ist nicht die aktuelle Fassung.</w:t>
      </w:r>
    </w:p>
    <w:p>
      <w:r>
        <w:t xml:space="preserve">(1) Vor Einreichung des Bauantrags kann die Bauaufsichtsbehörde einzelne der selbstständigen Beurteilung zugängliche Fragen zu einem Bauvorhaben durch schriftlichen Vorbescheid beantworten. Soweit sich die Fragen auf behördliche Entscheidungen beziehen, die nach § 67 Abs. 1 Satz 2 in eine Baugenehmigung eingeschlossen sind, kann die Bauaufsichtsbehörde diese Fragen im Benehmen mit den betroffenen Behörden mit Bindungswirkung auch für diese Behörden beantworten.</w:t>
      </w:r>
    </w:p>
    <w:p>
      <w:r>
        <w:t xml:space="preserve">(2) Die zur Beurteilung der Fragen erforderlichen Zeichnungen oder Pläne müssen den Anforderungen an Bauvorlagen entsprechen. Im Fall des Absatzes 1 Satz 2 sind dem Antrag ferner die Unterlagen beizufügen, die für die Beurteilung nach den für die weiteren behördlichen Entscheidungen geltenden Vorschriften erforderlich sind.</w:t>
      </w:r>
    </w:p>
    <w:p>
      <w:r>
        <w:t xml:space="preserve">(3) Im Fall des Absatzes 1 Satz 2 beträgt die Geltungsdauer des Vorbescheides abweichend von § 69 drei Jahre.</w:t>
      </w:r>
    </w:p>
    <w:p>
      <w:r>
        <w:rPr>
          <w:color w:val="555555"/>
          <w:sz w:val="17"/>
        </w:rPr>
        <w:t xml:space="preserve">Zitiervorschlag: § 59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