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BbgBO (Brandenburg) — Bauanzeigeverfahren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12.09.2026. Dies ist nicht die aktuelle Fassung.</w:t>
      </w:r>
    </w:p>
    <w:p>
      <w:r>
        <w:t xml:space="preserve">(1) Für die Errichtung und Änderung von Wohngebäuden geringer Höhe, einschließlich der zugehörigen Stellplätze, Garagen und Nebenanlagen, sowie für Gewächshäuser mit nicht mehr als 5 m Höhe im Geltungsbereich eines rechtswirksamen Bebauungsplans nach § 30 Abs. 1 oder 2 des Baugesetzbuchs wird abweichend von den §§ 56 und 57 auf Wunsch des Bauherrn ein Bauanzeigeverfahren durchgeführt, wenn das Vorhaben den Festsetzungen des Bebauungsplans nicht widerspricht und die Erschließung gesichert ist.</w:t>
      </w:r>
    </w:p>
    <w:p>
      <w:r>
        <w:t xml:space="preserve">(2) Die Bauaufsichtsbehörde hat dem Bauherrn binnen einer Woche den Tag des Eingangs der Bauanzeige bei der Bauaufsichtsbehörde zu bestätigen.</w:t>
      </w:r>
    </w:p>
    <w:p>
      <w:r>
        <w:t xml:space="preserve">(3) Mit der Bauausführung darf nach Ablauf eines Monats nach Eingang der Bauanzeige bei der Bauaufsichtsbehörde begonnen werden, sofern die Bauaufsichtsbehörde die Bauausführung nicht untersagt oder vorher freigegeben hat. Die Berechtigung zur Bauausführung erlischt nach vier Jahren. Die Berechtigung zur Bauausführung erlischt nicht, wenn das Vorhaben innerhalb der Frist nach Satz 2 begonnen worden und spätestens ein Jahr nach Ablauf der Frist fertig gestellt ist.</w:t>
      </w:r>
    </w:p>
    <w:p>
      <w:r>
        <w:t xml:space="preserve">(4) Die Bauausführung ist zu untersagen, wenn</w:t>
      </w:r>
    </w:p>
    <w:p>
      <w:r>
        <w:t xml:space="preserve">die Voraussetzungen des Absatzes 1 nicht vorliegen,</w:t>
      </w:r>
    </w:p>
    <w:p>
      <w:r>
        <w:t xml:space="preserve">die Bauanzeige, die Bauvorlagen oder Nachweise nicht vollständig oder unrichtig sind,</w:t>
      </w:r>
    </w:p>
    <w:p>
      <w:r>
        <w:t xml:space="preserve">die Voraussetzungen der §§ 14 oder 15 des Baugesetzbuchs vorliegen.</w:t>
      </w:r>
    </w:p>
    <w:p>
      <w:r>
        <w:t xml:space="preserve">Die Untersagung bedarf der Schriftform, muss die Untersagungsgründe im Einzelnen benennen und ist dem Bauherrn innerhalb der Frist nach Absatz 3 Satz 1 zuzustellen. Widerspruch und Anfechtungsklage gegen die Untersagung haben keine aufschiebende Wirkung.</w:t>
      </w:r>
    </w:p>
    <w:p>
      <w:r>
        <w:t xml:space="preserve">(5) Im Übrigen gelten § 57 Abs. 2 und die Verfahrensvorschriften dieses Gesetzes entsprechend.</w:t>
      </w:r>
    </w:p>
    <w:p>
      <w:r>
        <w:rPr>
          <w:color w:val="555555"/>
          <w:sz w:val="17"/>
        </w:rPr>
        <w:t xml:space="preserve">Zitiervorschlag: § 58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BbgBO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