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 BbgBO (Brandenburg) — Aufgaben und Befugnisse der amtsfreien Gemeinden und der Ämter als Sonderordnungsbehörden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Historische Fassung: Stand 23.08.2026 bis 23.08.2026. Dies ist nicht die aktuelle Fassung.</w:t>
      </w:r>
    </w:p>
    <w:p>
      <w:r>
        <w:t xml:space="preserve">(1) Die amtsfreien Gemeinden und die Ämter sind als Sonderordnungsbehörden für den Vollzug der örtlichen Bauvorschriften und der planungsrechtlichen Festsetzungen bei genehmigungsfreien Vorhaben zuständig. Dies gilt insbesondere für</w:t>
      </w:r>
    </w:p>
    <w:p>
      <w:r>
        <w:t xml:space="preserve">die Zulassung von Abweichungen von örtlichen Bauvorschriften sowie die Zulassung von Ausnahmen und Befreiungen nach § 31 des Baugesetzbuchs,</w:t>
      </w:r>
    </w:p>
    <w:p>
      <w:r>
        <w:t xml:space="preserve">die sonderordnungsbehördliche Erlaubnis von Werbeanlagen,</w:t>
      </w:r>
    </w:p>
    <w:p>
      <w:r>
        <w:t xml:space="preserve">die Einstellung von Bauarbeiten, die Nutzungsuntersagung sowie die Beseitigung rechtswidrig errichteter baulicher Anlagen unter entsprechender Anwendung der §§ 73 und 74,</w:t>
      </w:r>
    </w:p>
    <w:p>
      <w:r>
        <w:t xml:space="preserve">die vorläufige Untersagung nach § 15 Abs. 1 Satz 2 des Baugesetzbuchs binnen einer Frist von einem Monat ab Kenntnis des Vorhabens,</w:t>
      </w:r>
    </w:p>
    <w:p>
      <w:r>
        <w:t xml:space="preserve">Ordnungswidrigkeitenverfahren.</w:t>
      </w:r>
    </w:p>
    <w:p>
      <w:r>
        <w:t xml:space="preserve">(2) § 52 Abs. 2, 4 und 5 gilt für die von den amtsfreien Gemeinden und den Ämtern als Sonderordnungsbehörden nach diesem Gesetz wahrgenommenen Aufgaben entsprechend.</w:t>
      </w:r>
    </w:p>
    <w:p>
      <w:r>
        <w:rPr>
          <w:color w:val="555555"/>
          <w:sz w:val="17"/>
        </w:rPr>
        <w:t xml:space="preserve">Zitiervorschlag: § 53 BbgBO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https://recht.nulegal.eu/gesetze/bb-bbgbo--2008/53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