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BbgBO (Brandenburg) — Bauüberwachung</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07.09.2026. Dies ist nicht die aktuelle Fassung.</w:t>
      </w:r>
    </w:p>
    <w:p>
      <w:r>
        <w:t xml:space="preserve">(1) Verfügt der Objektplaner nicht über die erforderliche Sachkunde oder Erfahrung zur Bauüberwachung, so ist ein geeigneter Bauüberwacher heranzuziehen, der die Aufgabe nach § 48 Abs. 1 Satz 3 wahrnimmt. Die Bauüberwachung darf eigenverantwortlich nur durchführen und die Erklärung nach § 76 Abs. 1 Nr. 1 darf eigenverantwortlich nur abgeben, wer die Bauüberwachung als Objektplaner durchführt.</w:t>
      </w:r>
    </w:p>
    <w:p>
      <w:r>
        <w:t xml:space="preserve">(2) Der Bauüberwacher hat darüber zu wachen, dass die Baumaßnahme den öffentlich-rechtlichen Vorschriften und den genehmigten Bauvorlagen entsprechend durchgeführt wird und hat die dafür erforderlichen Weisungen zu erteilen. Er hat im Rahmen dieser Aufgabe auf den sicheren bautechnischen Betrieb der Baustelle, insbesondere auf das gefahrlose Ineinandergreifen der Arbeiten der Unternehmer zu achten.</w:t>
      </w:r>
    </w:p>
    <w:p>
      <w:r>
        <w:rPr>
          <w:color w:val="555555"/>
          <w:sz w:val="17"/>
        </w:rPr>
        <w:t xml:space="preserve">Zitiervorschlag: § 49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