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BbgBO (Brandenburg) — Grundsatz</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26.07.2026 bis 30.07.2026. Dies ist nicht die aktuelle Fassung.</w:t>
      </w:r>
    </w:p>
    <w:p>
      <w:r>
        <w:t xml:space="preserve">Bei der Errichtung, der Instandhaltung, der Änderung, der Nutzungsänderung oder der Beseitigung baulicher Anlagen sowie anderer Anlagen und Einrichtungen sind der Bauherr und im Rahmen ihres Wirkungskreises die anderen am Bau Beteiligten dafür verantwortlich, dass die öffentlich-rechtlichen Vorschriften und die Anordnungen der Bauaufsichtsbehörden eingehalten werden. Die am Bau Beteiligten müssen ausreichend haftpflichtversichert sein.</w:t>
      </w:r>
    </w:p>
    <w:p>
      <w:r>
        <w:rPr>
          <w:color w:val="555555"/>
          <w:sz w:val="17"/>
        </w:rPr>
        <w:t xml:space="preserve">Zitiervorschlag: § 46 BbgBO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