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BbgBO (Brandenburg) — Barrierefreies Bauen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25.08.2026. Dies ist nicht die aktuelle Fassung.</w:t>
      </w:r>
    </w:p>
    <w:p>
      <w:r>
        <w:t xml:space="preserve">(1) In Wohngebäuden mit mehr als vier Wohnungen müssen die Wohnungen eines Geschosses barrierefrei sein. In Gebäuden mit Aufzügen und mit mehr als vier Wohnungen müssen die Wohnungen eines Geschosses barrierefrei sein.</w:t>
      </w:r>
    </w:p>
    <w:p>
      <w:r>
        <w:t xml:space="preserve">(2) Bauliche Anlagen und andere Anlagen und Einrichtungen, die überwiegend oder ausschließlich von kranken, behinderten oder alten Menschen genutzt werden oder ihrer Betreuung dienen, müssen barrierefrei sein.</w:t>
      </w:r>
    </w:p>
    <w:p>
      <w:r>
        <w:t xml:space="preserve">(3) Bauliche Anlagen und andere Anlagen und Einrichtungen, die für die Öffentlichkeit bestimmt oder allgemein zugänglich sind, müssen in den dem allgemeinen Besucherverkehr dienenden Teilen barrierefrei sein.</w:t>
      </w:r>
    </w:p>
    <w:p>
      <w:r>
        <w:t xml:space="preserve">(4) Gebäude, die für eine größere Zahl von Personen oder für die Öffentlichkeit bestimmt sind, müssen mit einer ausreichenden Zahl, mindestens jedoch mit einer Toilette für Benutzer von Rollstühlen ausgestattet sein.</w:t>
      </w:r>
    </w:p>
    <w:p>
      <w:r>
        <w:t xml:space="preserve">(5) Bauliche Anlagen nach den Absätzen 2 und 3 müssen eine ausreichende Zahl von Stellplätzen für die Kraftfahrzeuge behinderter Menschen haben.</w:t>
      </w:r>
    </w:p>
    <w:p>
      <w:r>
        <w:t xml:space="preserve">(6) Lassen sich die Anforderungen der Absätze 1 bis 4 nur mit unverhältnismäßig hohem Aufwand oder unzumutbaren Mehrkosten verwirklichen, so kann die Bauaufsichtsbehörde zulassen, dass die Anforderungen auf einen Teil der baulichen Anlage beschränkt werden, wenn dabei die zweckentsprechende Nutzung durch die auf barrierefreie Zugänglichkeit angewiesenen Personen gewährleistet bleibt. Im Fall des Absatzes 1 muss die Zugänglichkeit der Wohnungen für die Benutzer von Rollstühlen gewährleistet bleiben. § 60 Abs. 1 Satz 1 bleibt unberührt.</w:t>
      </w:r>
    </w:p>
    <w:p>
      <w:r>
        <w:rPr>
          <w:color w:val="555555"/>
          <w:sz w:val="17"/>
        </w:rPr>
        <w:t xml:space="preserve">Zitiervorschlag: § 45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