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BbgBO (Brandenburg) — Stellplätze und Garagen, Stellplatzablösevertrag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Bei der Errichtung oder Nutzungsänderung von baulichen Anlagen sowie anderen Anlagen, bei denen ein Zu- oder Abgangsverkehr mittels Kraftfahrzeugen zu erwarten ist, müssen die durch die Gemeinde in einer örtlichen Bauvorschrift nach § 81 festgesetzten notwendigen Stellplätze hergestellt werden.</w:t>
      </w:r>
    </w:p>
    <w:p>
      <w:r>
        <w:t xml:space="preserve">(2) Die notwendigen Stellplätze sind auf dem Baugrundstück oder in zumutbarer Entfernung davon auf einem geeigneten Grundstück herzustellen, dessen Benutzung für diesen Zweck rechtlich gesichert ist.</w:t>
      </w:r>
    </w:p>
    <w:p>
      <w:r>
        <w:t xml:space="preserve">(3) Soweit der Bauherr durch örtliche Bauvorschrift zur Herstellung von notwendigen Stellplätzen verpflichtet ist, kann die Gemeinde durch öffentlich-rechtlichen Vertrag mit dem Bauherrn vereinbaren, dass der Bauherr seine Verpflichtung ganz oder teilweise durch Zahlung eines Geldbetrages an die Gemeinde ablöst(Stellplatzablösevertrag). Der Anspruch der Gemeinde auf Zahlung des im Stellplatzablösevertrag vereinbarten Geldbetrages entsteht mit Baubeginn.</w:t>
      </w:r>
    </w:p>
    <w:p>
      <w:r>
        <w:t xml:space="preserve">(4) Der Geldbetrag je Stellplatz soll den anteiligen durchschnittlichen Grunderwerbs- und Herstellungskosten für 25 m 2 Stellplatz- und Bewegungsfläche entsprechen. Die Gemeinde hat die vereinnahmten Geldbeträge zweckgebunden für</w:t>
      </w:r>
    </w:p>
    <w:p>
      <w:r>
        <w:t xml:space="preserve">die Herstellung und Instandhaltung öffentlicher oder allgemein zugänglicher Stellplatzeinrichtungen außerhalb der öffentlichen Straßen oder</w:t>
      </w:r>
    </w:p>
    <w:p>
      <w:r>
        <w:t xml:space="preserve">bauliche Maßnahmen zum Ausbau und zur Instandsetzung von Einrichtungen des öffentlichen Personennahverkehrs</w:t>
      </w:r>
    </w:p>
    <w:p>
      <w:r>
        <w:t xml:space="preserve">zu verwenden.</w:t>
      </w:r>
    </w:p>
    <w:p>
      <w:r>
        <w:t xml:space="preserve">(5) Stellplätze, Garagen und ihre Nebenanlagen müssen verkehrssicher sein und entsprechend dem Gefährlichkeitsgrad der Treibstoffe, der Zahl und Art der abzustellenden Kraftfahrzeuge dem Brandschutz genügen. Abfließende Treib- und Schmierstoffe müssen unschädlich beseitigt werden können. Garagen und ihre Nebenanlagen müssen zu lüften sein.</w:t>
      </w:r>
    </w:p>
    <w:p>
      <w:r>
        <w:t xml:space="preserve">(6) Stellplätze und Garagen müssen so angeordnet und ausgeführt werden, dass ihre Benutzung die Gesundheit nicht schädigt und das Arbeiten und Wohnen, die Ruhe und die Erholung in der Umgebung durch Lärm oder Gerüche nicht über das zumutbare Maß hinaus stört.</w:t>
      </w:r>
    </w:p>
    <w:p>
      <w:r>
        <w:t xml:space="preserve">(7) Für Abstellplätze für Fahrräder gelten die Absätze 1, 2 und 6 entsprechend.</w:t>
      </w:r>
    </w:p>
    <w:p>
      <w:r>
        <w:rPr>
          <w:color w:val="555555"/>
          <w:sz w:val="17"/>
        </w:rPr>
        <w:t xml:space="preserve">Zitiervorschlag: § 43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